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97F" w:rsidRPr="008C2B29" w:rsidRDefault="0065697F" w:rsidP="0065697F">
      <w:pPr>
        <w:pStyle w:val="Bezproreda"/>
        <w:rPr>
          <w:rFonts w:asciiTheme="majorHAnsi" w:hAnsiTheme="majorHAnsi"/>
          <w:b/>
          <w:szCs w:val="24"/>
        </w:rPr>
      </w:pPr>
      <w:r w:rsidRPr="008C2B29">
        <w:rPr>
          <w:rFonts w:asciiTheme="majorHAnsi" w:hAnsiTheme="majorHAnsi"/>
          <w:b/>
          <w:szCs w:val="24"/>
        </w:rPr>
        <w:t xml:space="preserve">Osnovna škola </w:t>
      </w:r>
      <w:r>
        <w:rPr>
          <w:rFonts w:asciiTheme="majorHAnsi" w:hAnsiTheme="majorHAnsi"/>
          <w:b/>
          <w:szCs w:val="24"/>
        </w:rPr>
        <w:t>Mara Švel-Gamiršek, Vrbanja</w:t>
      </w:r>
    </w:p>
    <w:p w:rsidR="0065697F" w:rsidRPr="008C2B29" w:rsidRDefault="0065697F" w:rsidP="0065697F">
      <w:pPr>
        <w:pStyle w:val="Bezproreda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Matije gupca 23</w:t>
      </w:r>
    </w:p>
    <w:p w:rsidR="0065697F" w:rsidRPr="008C2B29" w:rsidRDefault="0065697F" w:rsidP="0065697F">
      <w:pPr>
        <w:pStyle w:val="Bezproreda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32254</w:t>
      </w:r>
      <w:r w:rsidRPr="008C2B29">
        <w:rPr>
          <w:rFonts w:asciiTheme="majorHAnsi" w:hAnsiTheme="majorHAnsi"/>
          <w:b/>
          <w:szCs w:val="24"/>
        </w:rPr>
        <w:t xml:space="preserve"> </w:t>
      </w:r>
      <w:r>
        <w:rPr>
          <w:rFonts w:asciiTheme="majorHAnsi" w:hAnsiTheme="majorHAnsi"/>
          <w:b/>
          <w:szCs w:val="24"/>
        </w:rPr>
        <w:t>Vrbanja</w:t>
      </w:r>
    </w:p>
    <w:p w:rsidR="0065697F" w:rsidRPr="008C2B29" w:rsidRDefault="0065697F" w:rsidP="0065697F">
      <w:pPr>
        <w:pStyle w:val="Bezproreda"/>
        <w:rPr>
          <w:rFonts w:asciiTheme="majorHAnsi" w:hAnsiTheme="majorHAnsi"/>
          <w:b/>
          <w:szCs w:val="24"/>
        </w:rPr>
      </w:pPr>
      <w:r w:rsidRPr="008C2B29">
        <w:rPr>
          <w:rFonts w:asciiTheme="majorHAnsi" w:hAnsiTheme="majorHAnsi"/>
          <w:b/>
          <w:szCs w:val="24"/>
        </w:rPr>
        <w:t>Šifra škol</w:t>
      </w:r>
      <w:r>
        <w:rPr>
          <w:rFonts w:asciiTheme="majorHAnsi" w:hAnsiTheme="majorHAnsi"/>
          <w:b/>
          <w:szCs w:val="24"/>
        </w:rPr>
        <w:t>e</w:t>
      </w:r>
      <w:r w:rsidRPr="008C2B29">
        <w:rPr>
          <w:rFonts w:asciiTheme="majorHAnsi" w:hAnsiTheme="majorHAnsi"/>
          <w:b/>
          <w:szCs w:val="24"/>
        </w:rPr>
        <w:t xml:space="preserve">: </w:t>
      </w:r>
      <w:r>
        <w:rPr>
          <w:rFonts w:asciiTheme="majorHAnsi" w:hAnsiTheme="majorHAnsi"/>
          <w:szCs w:val="24"/>
        </w:rPr>
        <w:t>16-440-001</w:t>
      </w:r>
    </w:p>
    <w:p w:rsidR="0065697F" w:rsidRPr="008C2B29" w:rsidRDefault="0065697F" w:rsidP="0065697F">
      <w:pPr>
        <w:pStyle w:val="Bezproreda"/>
        <w:rPr>
          <w:rFonts w:asciiTheme="majorHAnsi" w:hAnsiTheme="majorHAnsi"/>
          <w:szCs w:val="24"/>
        </w:rPr>
      </w:pPr>
      <w:r w:rsidRPr="008C2B29">
        <w:rPr>
          <w:rFonts w:asciiTheme="majorHAnsi" w:hAnsiTheme="majorHAnsi"/>
          <w:b/>
          <w:szCs w:val="24"/>
        </w:rPr>
        <w:t xml:space="preserve">RKP: </w:t>
      </w:r>
      <w:r>
        <w:rPr>
          <w:rFonts w:asciiTheme="majorHAnsi" w:hAnsiTheme="majorHAnsi"/>
          <w:szCs w:val="24"/>
        </w:rPr>
        <w:t>103-05</w:t>
      </w:r>
    </w:p>
    <w:p w:rsidR="0065697F" w:rsidRPr="008C2B29" w:rsidRDefault="0065697F" w:rsidP="0065697F">
      <w:pPr>
        <w:pStyle w:val="Bezproreda"/>
        <w:rPr>
          <w:rFonts w:asciiTheme="majorHAnsi" w:hAnsiTheme="majorHAnsi"/>
          <w:b/>
          <w:szCs w:val="24"/>
        </w:rPr>
      </w:pPr>
      <w:r w:rsidRPr="008C2B29">
        <w:rPr>
          <w:rFonts w:asciiTheme="majorHAnsi" w:hAnsiTheme="majorHAnsi"/>
          <w:b/>
          <w:szCs w:val="24"/>
        </w:rPr>
        <w:t xml:space="preserve">MB: </w:t>
      </w:r>
      <w:r>
        <w:rPr>
          <w:rFonts w:asciiTheme="majorHAnsi" w:hAnsiTheme="majorHAnsi"/>
          <w:szCs w:val="24"/>
        </w:rPr>
        <w:t>03307859</w:t>
      </w:r>
      <w:bookmarkStart w:id="0" w:name="_GoBack"/>
      <w:bookmarkEnd w:id="0"/>
    </w:p>
    <w:p w:rsidR="0065697F" w:rsidRPr="008C2B29" w:rsidRDefault="0065697F" w:rsidP="0065697F">
      <w:pPr>
        <w:pStyle w:val="Bezproreda"/>
        <w:rPr>
          <w:rFonts w:asciiTheme="majorHAnsi" w:hAnsiTheme="majorHAnsi"/>
          <w:b/>
          <w:szCs w:val="24"/>
        </w:rPr>
      </w:pPr>
      <w:r w:rsidRPr="008C2B29">
        <w:rPr>
          <w:rFonts w:asciiTheme="majorHAnsi" w:hAnsiTheme="majorHAnsi"/>
          <w:b/>
          <w:szCs w:val="24"/>
        </w:rPr>
        <w:t xml:space="preserve">OIB: </w:t>
      </w:r>
      <w:r>
        <w:rPr>
          <w:rFonts w:asciiTheme="majorHAnsi" w:hAnsiTheme="majorHAnsi"/>
          <w:szCs w:val="24"/>
        </w:rPr>
        <w:t>31899443033</w:t>
      </w:r>
    </w:p>
    <w:p w:rsidR="0065697F" w:rsidRPr="008C2B29" w:rsidRDefault="0065697F" w:rsidP="0065697F">
      <w:pPr>
        <w:pStyle w:val="Bezproreda"/>
        <w:rPr>
          <w:rFonts w:asciiTheme="majorHAnsi" w:hAnsiTheme="majorHAnsi"/>
          <w:b/>
          <w:szCs w:val="24"/>
        </w:rPr>
      </w:pPr>
      <w:r w:rsidRPr="008C2B29">
        <w:rPr>
          <w:rFonts w:asciiTheme="majorHAnsi" w:hAnsiTheme="majorHAnsi"/>
          <w:b/>
          <w:szCs w:val="24"/>
        </w:rPr>
        <w:t xml:space="preserve">Razina: </w:t>
      </w:r>
      <w:r w:rsidRPr="008C2B29">
        <w:rPr>
          <w:rFonts w:asciiTheme="majorHAnsi" w:hAnsiTheme="majorHAnsi"/>
          <w:szCs w:val="24"/>
        </w:rPr>
        <w:t>31</w:t>
      </w:r>
      <w:r>
        <w:rPr>
          <w:rFonts w:asciiTheme="majorHAnsi" w:hAnsiTheme="majorHAnsi"/>
          <w:szCs w:val="24"/>
        </w:rPr>
        <w:t xml:space="preserve">, </w:t>
      </w:r>
      <w:r w:rsidRPr="008C2B29">
        <w:rPr>
          <w:rFonts w:asciiTheme="majorHAnsi" w:hAnsiTheme="majorHAnsi"/>
          <w:b/>
          <w:szCs w:val="24"/>
        </w:rPr>
        <w:t>Razdjel:</w:t>
      </w:r>
      <w:r>
        <w:rPr>
          <w:rFonts w:asciiTheme="majorHAnsi" w:hAnsiTheme="majorHAnsi"/>
          <w:szCs w:val="24"/>
        </w:rPr>
        <w:t xml:space="preserve"> 000</w:t>
      </w:r>
    </w:p>
    <w:p w:rsidR="0065697F" w:rsidRPr="008C2B29" w:rsidRDefault="0065697F" w:rsidP="0065697F">
      <w:pPr>
        <w:pStyle w:val="Bezproreda"/>
        <w:rPr>
          <w:rFonts w:asciiTheme="majorHAnsi" w:hAnsiTheme="majorHAnsi"/>
          <w:szCs w:val="24"/>
        </w:rPr>
      </w:pPr>
      <w:r w:rsidRPr="008C2B29">
        <w:rPr>
          <w:rFonts w:asciiTheme="majorHAnsi" w:hAnsiTheme="majorHAnsi"/>
          <w:b/>
          <w:szCs w:val="24"/>
        </w:rPr>
        <w:t xml:space="preserve">Šifra djelatnosti: </w:t>
      </w:r>
      <w:r w:rsidRPr="008C2B29">
        <w:rPr>
          <w:rFonts w:asciiTheme="majorHAnsi" w:hAnsiTheme="majorHAnsi"/>
          <w:szCs w:val="24"/>
        </w:rPr>
        <w:t>8520</w:t>
      </w:r>
    </w:p>
    <w:p w:rsidR="0065697F" w:rsidRDefault="0065697F" w:rsidP="0065697F">
      <w:pPr>
        <w:pStyle w:val="Bezproreda"/>
        <w:rPr>
          <w:rFonts w:asciiTheme="majorHAnsi" w:hAnsiTheme="majorHAnsi"/>
          <w:szCs w:val="24"/>
        </w:rPr>
      </w:pPr>
    </w:p>
    <w:p w:rsidR="0065697F" w:rsidRDefault="0065697F" w:rsidP="0065697F">
      <w:pPr>
        <w:pStyle w:val="Bezproreda"/>
        <w:rPr>
          <w:rFonts w:asciiTheme="majorHAnsi" w:hAnsiTheme="majorHAnsi"/>
          <w:szCs w:val="24"/>
        </w:rPr>
      </w:pPr>
    </w:p>
    <w:p w:rsidR="0065697F" w:rsidRPr="008E5048" w:rsidRDefault="0065697F" w:rsidP="0065697F">
      <w:pPr>
        <w:pStyle w:val="Bezproreda"/>
        <w:jc w:val="center"/>
        <w:rPr>
          <w:rFonts w:asciiTheme="majorHAnsi" w:hAnsiTheme="majorHAnsi"/>
          <w:b/>
          <w:sz w:val="36"/>
          <w:szCs w:val="24"/>
        </w:rPr>
      </w:pPr>
      <w:r w:rsidRPr="008E5048">
        <w:rPr>
          <w:rFonts w:asciiTheme="majorHAnsi" w:hAnsiTheme="majorHAnsi"/>
          <w:b/>
          <w:sz w:val="36"/>
          <w:szCs w:val="24"/>
        </w:rPr>
        <w:t>BILJEŠKE UZ FINANCIJSKI IZVJEŠTAJ</w:t>
      </w:r>
    </w:p>
    <w:p w:rsidR="0065697F" w:rsidRPr="008E5048" w:rsidRDefault="00E30206" w:rsidP="0065697F">
      <w:pPr>
        <w:pStyle w:val="Bezproreda"/>
        <w:jc w:val="center"/>
        <w:rPr>
          <w:rFonts w:asciiTheme="majorHAnsi" w:hAnsiTheme="majorHAnsi"/>
          <w:b/>
          <w:sz w:val="36"/>
          <w:szCs w:val="24"/>
        </w:rPr>
      </w:pPr>
      <w:r>
        <w:rPr>
          <w:rFonts w:asciiTheme="majorHAnsi" w:hAnsiTheme="majorHAnsi"/>
          <w:b/>
          <w:sz w:val="36"/>
          <w:szCs w:val="24"/>
        </w:rPr>
        <w:t>Za razdoblje 01.01.202</w:t>
      </w:r>
      <w:r w:rsidR="00E602D9">
        <w:rPr>
          <w:rFonts w:asciiTheme="majorHAnsi" w:hAnsiTheme="majorHAnsi"/>
          <w:b/>
          <w:sz w:val="36"/>
          <w:szCs w:val="24"/>
        </w:rPr>
        <w:t>1</w:t>
      </w:r>
      <w:r w:rsidR="0065697F" w:rsidRPr="008E5048">
        <w:rPr>
          <w:rFonts w:asciiTheme="majorHAnsi" w:hAnsiTheme="majorHAnsi"/>
          <w:b/>
          <w:sz w:val="36"/>
          <w:szCs w:val="24"/>
        </w:rPr>
        <w:t xml:space="preserve">. do </w:t>
      </w:r>
      <w:r>
        <w:rPr>
          <w:rFonts w:asciiTheme="majorHAnsi" w:hAnsiTheme="majorHAnsi"/>
          <w:b/>
          <w:sz w:val="36"/>
          <w:szCs w:val="24"/>
        </w:rPr>
        <w:t>31.12.202</w:t>
      </w:r>
      <w:r w:rsidR="00E602D9">
        <w:rPr>
          <w:rFonts w:asciiTheme="majorHAnsi" w:hAnsiTheme="majorHAnsi"/>
          <w:b/>
          <w:sz w:val="36"/>
          <w:szCs w:val="24"/>
        </w:rPr>
        <w:t>1</w:t>
      </w:r>
      <w:r w:rsidR="0065697F" w:rsidRPr="008E5048">
        <w:rPr>
          <w:rFonts w:asciiTheme="majorHAnsi" w:hAnsiTheme="majorHAnsi"/>
          <w:b/>
          <w:sz w:val="36"/>
          <w:szCs w:val="24"/>
        </w:rPr>
        <w:t>. godine</w:t>
      </w:r>
    </w:p>
    <w:p w:rsidR="0065697F" w:rsidRDefault="0065697F" w:rsidP="0065697F">
      <w:pPr>
        <w:pStyle w:val="Bezproreda"/>
        <w:jc w:val="center"/>
        <w:rPr>
          <w:rFonts w:asciiTheme="majorHAnsi" w:hAnsiTheme="majorHAnsi"/>
          <w:b/>
          <w:szCs w:val="24"/>
        </w:rPr>
      </w:pPr>
    </w:p>
    <w:p w:rsidR="0065697F" w:rsidRDefault="0065697F" w:rsidP="0065697F">
      <w:pPr>
        <w:pStyle w:val="Bezproreda"/>
        <w:jc w:val="center"/>
        <w:rPr>
          <w:rFonts w:asciiTheme="majorHAnsi" w:hAnsiTheme="majorHAnsi"/>
          <w:b/>
          <w:szCs w:val="24"/>
        </w:rPr>
      </w:pPr>
    </w:p>
    <w:p w:rsidR="0065697F" w:rsidRPr="0065101B" w:rsidRDefault="0065697F" w:rsidP="0065697F">
      <w:pPr>
        <w:pStyle w:val="Bezproreda"/>
        <w:jc w:val="both"/>
        <w:rPr>
          <w:rFonts w:asciiTheme="majorHAnsi" w:hAnsiTheme="majorHAnsi"/>
          <w:b/>
          <w:szCs w:val="24"/>
        </w:rPr>
      </w:pPr>
      <w:r w:rsidRPr="0065101B">
        <w:rPr>
          <w:rFonts w:asciiTheme="majorHAnsi" w:hAnsiTheme="majorHAnsi"/>
          <w:b/>
          <w:szCs w:val="24"/>
        </w:rPr>
        <w:t>Škola se financira iz slijedećih izvora:</w:t>
      </w:r>
    </w:p>
    <w:p w:rsidR="0065697F" w:rsidRPr="00F00C7B" w:rsidRDefault="0065697F" w:rsidP="0065697F">
      <w:pPr>
        <w:pStyle w:val="Bezproreda"/>
        <w:jc w:val="both"/>
        <w:rPr>
          <w:rFonts w:asciiTheme="majorHAnsi" w:hAnsiTheme="majorHAnsi"/>
          <w:szCs w:val="24"/>
        </w:rPr>
      </w:pPr>
    </w:p>
    <w:p w:rsidR="0065697F" w:rsidRPr="00F00C7B" w:rsidRDefault="0065697F" w:rsidP="0065697F">
      <w:pPr>
        <w:pStyle w:val="Bezproreda"/>
        <w:spacing w:before="40"/>
        <w:jc w:val="both"/>
        <w:rPr>
          <w:rFonts w:asciiTheme="majorHAnsi" w:hAnsiTheme="majorHAnsi"/>
          <w:szCs w:val="24"/>
        </w:rPr>
      </w:pPr>
      <w:r w:rsidRPr="00F00C7B">
        <w:rPr>
          <w:rFonts w:asciiTheme="majorHAnsi" w:hAnsiTheme="majorHAnsi"/>
          <w:szCs w:val="24"/>
        </w:rPr>
        <w:t>•</w:t>
      </w:r>
      <w:r>
        <w:rPr>
          <w:rFonts w:asciiTheme="majorHAnsi" w:hAnsiTheme="majorHAnsi"/>
          <w:szCs w:val="24"/>
        </w:rPr>
        <w:t xml:space="preserve"> </w:t>
      </w:r>
      <w:r w:rsidRPr="0065101B">
        <w:rPr>
          <w:rFonts w:asciiTheme="majorHAnsi" w:hAnsiTheme="majorHAnsi"/>
          <w:b/>
          <w:szCs w:val="24"/>
        </w:rPr>
        <w:t>Prihodi iz državnog proračuna</w:t>
      </w:r>
      <w:r w:rsidRPr="00F00C7B">
        <w:rPr>
          <w:rFonts w:asciiTheme="majorHAnsi" w:hAnsiTheme="majorHAnsi"/>
          <w:szCs w:val="24"/>
        </w:rPr>
        <w:t xml:space="preserve"> – Ministarstvo znanosti obrazovanja i sporta</w:t>
      </w:r>
      <w:r>
        <w:rPr>
          <w:rFonts w:asciiTheme="majorHAnsi" w:hAnsiTheme="majorHAnsi"/>
          <w:szCs w:val="24"/>
        </w:rPr>
        <w:t xml:space="preserve"> </w:t>
      </w:r>
      <w:r w:rsidRPr="00F00C7B">
        <w:rPr>
          <w:rFonts w:asciiTheme="majorHAnsi" w:hAnsiTheme="majorHAnsi"/>
          <w:szCs w:val="24"/>
        </w:rPr>
        <w:t xml:space="preserve">i to rashode za: </w:t>
      </w:r>
      <w:r>
        <w:rPr>
          <w:rFonts w:asciiTheme="majorHAnsi" w:hAnsiTheme="majorHAnsi"/>
          <w:szCs w:val="24"/>
        </w:rPr>
        <w:t>plaće i naknade zaposlenika, naknadu zbog nezapošljavanja invalida.</w:t>
      </w:r>
    </w:p>
    <w:p w:rsidR="0065697F" w:rsidRPr="00F00C7B" w:rsidRDefault="0065697F" w:rsidP="0065697F">
      <w:pPr>
        <w:pStyle w:val="Bezproreda"/>
        <w:spacing w:before="40"/>
        <w:jc w:val="both"/>
        <w:rPr>
          <w:rFonts w:asciiTheme="majorHAnsi" w:hAnsiTheme="majorHAnsi"/>
          <w:szCs w:val="24"/>
        </w:rPr>
      </w:pPr>
      <w:r w:rsidRPr="00F00C7B">
        <w:rPr>
          <w:rFonts w:asciiTheme="majorHAnsi" w:hAnsiTheme="majorHAnsi"/>
          <w:szCs w:val="24"/>
        </w:rPr>
        <w:t>•</w:t>
      </w:r>
      <w:r>
        <w:rPr>
          <w:rFonts w:asciiTheme="majorHAnsi" w:hAnsiTheme="majorHAnsi"/>
          <w:szCs w:val="24"/>
        </w:rPr>
        <w:t xml:space="preserve"> </w:t>
      </w:r>
      <w:r w:rsidRPr="0065101B">
        <w:rPr>
          <w:rFonts w:asciiTheme="majorHAnsi" w:hAnsiTheme="majorHAnsi"/>
          <w:b/>
          <w:szCs w:val="24"/>
        </w:rPr>
        <w:t>Prihodi iz županijskog proračuna</w:t>
      </w:r>
      <w:r w:rsidRPr="00F00C7B">
        <w:rPr>
          <w:rFonts w:asciiTheme="majorHAnsi" w:hAnsiTheme="majorHAnsi"/>
          <w:szCs w:val="24"/>
        </w:rPr>
        <w:t xml:space="preserve"> – </w:t>
      </w:r>
      <w:r>
        <w:rPr>
          <w:rFonts w:asciiTheme="majorHAnsi" w:hAnsiTheme="majorHAnsi"/>
          <w:szCs w:val="24"/>
        </w:rPr>
        <w:t>Vukovarsko-srijemska županija</w:t>
      </w:r>
    </w:p>
    <w:p w:rsidR="0065697F" w:rsidRPr="00F00C7B" w:rsidRDefault="0065697F" w:rsidP="0065697F">
      <w:pPr>
        <w:pStyle w:val="Bezproreda"/>
        <w:spacing w:before="40"/>
        <w:jc w:val="both"/>
        <w:rPr>
          <w:rFonts w:asciiTheme="majorHAnsi" w:hAnsiTheme="majorHAnsi"/>
          <w:szCs w:val="24"/>
        </w:rPr>
      </w:pPr>
      <w:r w:rsidRPr="00F00C7B">
        <w:rPr>
          <w:rFonts w:asciiTheme="majorHAnsi" w:hAnsiTheme="majorHAnsi"/>
          <w:szCs w:val="24"/>
        </w:rPr>
        <w:t xml:space="preserve">Decentralizirani prihodi (zakonski standard škole) i prihodi na temelju ugovornih obveza (iznad zakonskog standarda). </w:t>
      </w:r>
    </w:p>
    <w:p w:rsidR="0065697F" w:rsidRPr="00F00C7B" w:rsidRDefault="0065697F" w:rsidP="0065697F">
      <w:pPr>
        <w:pStyle w:val="Bezproreda"/>
        <w:spacing w:before="40"/>
        <w:jc w:val="both"/>
        <w:rPr>
          <w:rFonts w:asciiTheme="majorHAnsi" w:hAnsiTheme="majorHAnsi"/>
          <w:szCs w:val="24"/>
        </w:rPr>
      </w:pPr>
      <w:r w:rsidRPr="00F00C7B">
        <w:rPr>
          <w:rFonts w:asciiTheme="majorHAnsi" w:hAnsiTheme="majorHAnsi"/>
          <w:szCs w:val="24"/>
        </w:rPr>
        <w:t>•</w:t>
      </w:r>
      <w:r>
        <w:rPr>
          <w:rFonts w:asciiTheme="majorHAnsi" w:hAnsiTheme="majorHAnsi"/>
          <w:szCs w:val="24"/>
        </w:rPr>
        <w:t xml:space="preserve"> </w:t>
      </w:r>
      <w:r w:rsidRPr="0065101B">
        <w:rPr>
          <w:rFonts w:asciiTheme="majorHAnsi" w:hAnsiTheme="majorHAnsi"/>
          <w:b/>
          <w:szCs w:val="24"/>
        </w:rPr>
        <w:t>Vlastiti prihodi</w:t>
      </w:r>
      <w:r w:rsidRPr="00F00C7B">
        <w:rPr>
          <w:rFonts w:asciiTheme="majorHAnsi" w:hAnsiTheme="majorHAnsi"/>
          <w:szCs w:val="24"/>
        </w:rPr>
        <w:t xml:space="preserve"> </w:t>
      </w:r>
    </w:p>
    <w:p w:rsidR="0065697F" w:rsidRPr="00F00C7B" w:rsidRDefault="0065697F" w:rsidP="0065697F">
      <w:pPr>
        <w:pStyle w:val="Bezproreda"/>
        <w:spacing w:before="40"/>
        <w:jc w:val="both"/>
        <w:rPr>
          <w:rFonts w:asciiTheme="majorHAnsi" w:hAnsiTheme="majorHAnsi"/>
          <w:szCs w:val="24"/>
        </w:rPr>
      </w:pPr>
      <w:r w:rsidRPr="00F00C7B">
        <w:rPr>
          <w:rFonts w:asciiTheme="majorHAnsi" w:hAnsiTheme="majorHAnsi"/>
          <w:szCs w:val="24"/>
        </w:rPr>
        <w:t>Prihodi školskih kuhinja, prihodi od iznajmljivanja dvorane, prihodi od osiguranja-refundacija štete</w:t>
      </w:r>
      <w:r>
        <w:rPr>
          <w:rFonts w:asciiTheme="majorHAnsi" w:hAnsiTheme="majorHAnsi"/>
          <w:szCs w:val="24"/>
        </w:rPr>
        <w:t>.</w:t>
      </w:r>
    </w:p>
    <w:p w:rsidR="0065697F" w:rsidRPr="00F00C7B" w:rsidRDefault="0065697F" w:rsidP="0065697F">
      <w:pPr>
        <w:pStyle w:val="Bezproreda"/>
        <w:spacing w:before="40"/>
        <w:jc w:val="both"/>
        <w:rPr>
          <w:rFonts w:asciiTheme="majorHAnsi" w:hAnsiTheme="majorHAnsi"/>
          <w:szCs w:val="24"/>
        </w:rPr>
      </w:pPr>
      <w:r w:rsidRPr="00F00C7B">
        <w:rPr>
          <w:rFonts w:asciiTheme="majorHAnsi" w:hAnsiTheme="majorHAnsi"/>
          <w:szCs w:val="24"/>
        </w:rPr>
        <w:t>•</w:t>
      </w:r>
      <w:r>
        <w:rPr>
          <w:rFonts w:asciiTheme="majorHAnsi" w:hAnsiTheme="majorHAnsi"/>
          <w:szCs w:val="24"/>
        </w:rPr>
        <w:t xml:space="preserve"> </w:t>
      </w:r>
      <w:r w:rsidRPr="0065101B">
        <w:rPr>
          <w:rFonts w:asciiTheme="majorHAnsi" w:hAnsiTheme="majorHAnsi"/>
          <w:b/>
          <w:szCs w:val="24"/>
        </w:rPr>
        <w:t>Pomoći iz proračuna općine – Općina Vrbanja</w:t>
      </w:r>
    </w:p>
    <w:p w:rsidR="0065697F" w:rsidRPr="00283451" w:rsidRDefault="0065697F" w:rsidP="0065697F">
      <w:pPr>
        <w:pStyle w:val="Bezproreda"/>
        <w:rPr>
          <w:rFonts w:asciiTheme="majorHAnsi" w:hAnsiTheme="majorHAnsi"/>
        </w:rPr>
      </w:pPr>
      <w:r w:rsidRPr="00283451">
        <w:rPr>
          <w:rFonts w:asciiTheme="majorHAnsi" w:hAnsiTheme="majorHAnsi"/>
        </w:rPr>
        <w:t>Prihodi za plaću, naknade plaća i ostalih naknada zaposlenice - voditeljice predškole. Prihodi za materijalne izdatke redovne djelatnosti osnovnog obrazovanja, te predškolskog obrazovanja.</w:t>
      </w:r>
    </w:p>
    <w:p w:rsidR="0065697F" w:rsidRPr="00283451" w:rsidRDefault="0065697F" w:rsidP="0065697F">
      <w:pPr>
        <w:pStyle w:val="Bezproreda"/>
        <w:rPr>
          <w:rFonts w:asciiTheme="majorHAnsi" w:hAnsiTheme="majorHAnsi"/>
          <w:sz w:val="16"/>
        </w:rPr>
      </w:pPr>
    </w:p>
    <w:p w:rsidR="0065697F" w:rsidRPr="00283451" w:rsidRDefault="0065697F" w:rsidP="0065697F">
      <w:pPr>
        <w:pStyle w:val="Bezproreda"/>
        <w:rPr>
          <w:rFonts w:asciiTheme="majorHAnsi" w:hAnsiTheme="majorHAnsi"/>
        </w:rPr>
      </w:pPr>
      <w:r w:rsidRPr="00283451">
        <w:rPr>
          <w:rFonts w:asciiTheme="majorHAnsi" w:hAnsiTheme="majorHAnsi"/>
        </w:rPr>
        <w:t>Osnovna škola Mare Švel-Gamiršek Vrbanja djeluje na području mjesta Vrbanja i  naselja Spačva. Mjesto Vrbanja je općinsko naselje, dosta je veliko po površini, te j</w:t>
      </w:r>
      <w:r w:rsidR="00E30206">
        <w:rPr>
          <w:rFonts w:asciiTheme="majorHAnsi" w:hAnsiTheme="majorHAnsi"/>
        </w:rPr>
        <w:t>e obvezno organizirati prijevoz</w:t>
      </w:r>
      <w:r w:rsidRPr="00283451">
        <w:rPr>
          <w:rFonts w:asciiTheme="majorHAnsi" w:hAnsiTheme="majorHAnsi"/>
        </w:rPr>
        <w:t>.</w:t>
      </w:r>
    </w:p>
    <w:p w:rsidR="0065697F" w:rsidRPr="00283451" w:rsidRDefault="00E602D9" w:rsidP="0065697F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U 2020</w:t>
      </w:r>
      <w:r w:rsidR="00E30206">
        <w:rPr>
          <w:rFonts w:asciiTheme="majorHAnsi" w:hAnsiTheme="majorHAnsi"/>
        </w:rPr>
        <w:t>/202</w:t>
      </w:r>
      <w:r>
        <w:rPr>
          <w:rFonts w:asciiTheme="majorHAnsi" w:hAnsiTheme="majorHAnsi"/>
        </w:rPr>
        <w:t>1</w:t>
      </w:r>
      <w:r w:rsidR="0065697F" w:rsidRPr="00283451">
        <w:rPr>
          <w:rFonts w:asciiTheme="majorHAnsi" w:hAnsiTheme="majorHAnsi"/>
        </w:rPr>
        <w:t xml:space="preserve">. Školskoj godini imamo </w:t>
      </w:r>
      <w:r>
        <w:rPr>
          <w:rFonts w:asciiTheme="majorHAnsi" w:hAnsiTheme="majorHAnsi"/>
        </w:rPr>
        <w:t>112</w:t>
      </w:r>
      <w:r w:rsidR="0065697F" w:rsidRPr="00283451">
        <w:rPr>
          <w:rFonts w:asciiTheme="majorHAnsi" w:hAnsiTheme="majorHAnsi"/>
        </w:rPr>
        <w:t xml:space="preserve"> učenika svrstanih u 8 razredn</w:t>
      </w:r>
      <w:r w:rsidR="00E30206">
        <w:rPr>
          <w:rFonts w:asciiTheme="majorHAnsi" w:hAnsiTheme="majorHAnsi"/>
        </w:rPr>
        <w:t>ih odijela. Škola zapošljava  32 radnika, od čega 20</w:t>
      </w:r>
      <w:r w:rsidR="0065697F" w:rsidRPr="00283451">
        <w:rPr>
          <w:rFonts w:asciiTheme="majorHAnsi" w:hAnsiTheme="majorHAnsi"/>
        </w:rPr>
        <w:t xml:space="preserve"> učitelja, 2 stručna suradnika I 10 ostalih radnika ( ravnatelj, tajnik, </w:t>
      </w:r>
      <w:r w:rsidR="00E30206">
        <w:rPr>
          <w:rFonts w:asciiTheme="majorHAnsi" w:hAnsiTheme="majorHAnsi"/>
        </w:rPr>
        <w:t xml:space="preserve">2x </w:t>
      </w:r>
      <w:r w:rsidR="0065697F" w:rsidRPr="00283451">
        <w:rPr>
          <w:rFonts w:asciiTheme="majorHAnsi" w:hAnsiTheme="majorHAnsi"/>
        </w:rPr>
        <w:t>voditelj računovodstva, odgajatelj, domar, kuharica, tri čistača i pomoćnik u n</w:t>
      </w:r>
      <w:r w:rsidR="00E30206">
        <w:rPr>
          <w:rFonts w:asciiTheme="majorHAnsi" w:hAnsiTheme="majorHAnsi"/>
        </w:rPr>
        <w:t>a</w:t>
      </w:r>
      <w:r w:rsidR="0065697F" w:rsidRPr="00283451">
        <w:rPr>
          <w:rFonts w:asciiTheme="majorHAnsi" w:hAnsiTheme="majorHAnsi"/>
        </w:rPr>
        <w:t xml:space="preserve">stavi). Jedna smo od škola gdje je velik dio radnika zaposlen  na nepuno radno vrijeme , i rade na </w:t>
      </w:r>
      <w:r w:rsidR="0065697F">
        <w:rPr>
          <w:rFonts w:asciiTheme="majorHAnsi" w:hAnsiTheme="majorHAnsi"/>
        </w:rPr>
        <w:t>dvije ili tri škole, gdje su već</w:t>
      </w:r>
      <w:r w:rsidR="0065697F" w:rsidRPr="00283451">
        <w:rPr>
          <w:rFonts w:asciiTheme="majorHAnsi" w:hAnsiTheme="majorHAnsi"/>
        </w:rPr>
        <w:t>ina radnika putnici te pojedini putuju 60-110km do radnog mjesta.</w:t>
      </w:r>
    </w:p>
    <w:p w:rsidR="0065697F" w:rsidRPr="0065101B" w:rsidRDefault="0065697F" w:rsidP="0065697F">
      <w:pPr>
        <w:pStyle w:val="Bezproreda"/>
        <w:jc w:val="both"/>
        <w:rPr>
          <w:rFonts w:asciiTheme="majorHAnsi" w:hAnsiTheme="majorHAnsi"/>
          <w:sz w:val="16"/>
          <w:szCs w:val="24"/>
        </w:rPr>
      </w:pPr>
    </w:p>
    <w:p w:rsidR="0065697F" w:rsidRPr="0065101B" w:rsidRDefault="0065697F" w:rsidP="0065697F">
      <w:pPr>
        <w:pStyle w:val="Bezproreda"/>
        <w:jc w:val="both"/>
        <w:rPr>
          <w:rFonts w:asciiTheme="majorHAnsi" w:hAnsiTheme="majorHAnsi"/>
          <w:szCs w:val="24"/>
        </w:rPr>
      </w:pPr>
      <w:r w:rsidRPr="0065101B">
        <w:rPr>
          <w:rFonts w:asciiTheme="majorHAnsi" w:hAnsiTheme="majorHAnsi"/>
          <w:szCs w:val="24"/>
        </w:rPr>
        <w:t xml:space="preserve">Osnivač Škole je </w:t>
      </w:r>
      <w:r>
        <w:rPr>
          <w:rFonts w:asciiTheme="majorHAnsi" w:hAnsiTheme="majorHAnsi"/>
          <w:szCs w:val="24"/>
        </w:rPr>
        <w:t>Vukovarsko-srijemska</w:t>
      </w:r>
      <w:r w:rsidRPr="0065101B">
        <w:rPr>
          <w:rFonts w:asciiTheme="majorHAnsi" w:hAnsiTheme="majorHAnsi"/>
          <w:szCs w:val="24"/>
        </w:rPr>
        <w:t xml:space="preserve"> županija</w:t>
      </w:r>
      <w:r>
        <w:rPr>
          <w:rFonts w:asciiTheme="majorHAnsi" w:hAnsiTheme="majorHAnsi"/>
          <w:szCs w:val="24"/>
        </w:rPr>
        <w:t xml:space="preserve">. </w:t>
      </w:r>
      <w:r w:rsidRPr="0065101B">
        <w:rPr>
          <w:rFonts w:asciiTheme="majorHAnsi" w:hAnsiTheme="majorHAnsi"/>
          <w:szCs w:val="24"/>
        </w:rPr>
        <w:t>Škola je pravna osoba koja je samostalna u obavljanju svoje djelatnosti i poslovanju sukladno zakonu, propisima utemeljenim na zakonu, Statutu Škole, stručnim normama i pravilima struke.</w:t>
      </w:r>
    </w:p>
    <w:p w:rsidR="0065697F" w:rsidRPr="0065101B" w:rsidRDefault="0065697F" w:rsidP="0065697F">
      <w:pPr>
        <w:pStyle w:val="Bezproreda"/>
        <w:jc w:val="both"/>
        <w:rPr>
          <w:rFonts w:asciiTheme="majorHAnsi" w:hAnsiTheme="majorHAnsi"/>
          <w:szCs w:val="24"/>
        </w:rPr>
      </w:pPr>
      <w:r w:rsidRPr="0065101B">
        <w:rPr>
          <w:rFonts w:asciiTheme="majorHAnsi" w:hAnsiTheme="majorHAnsi"/>
          <w:szCs w:val="24"/>
        </w:rPr>
        <w:t>Škola obavlja djelatnost osnovnog odgoja i obrazovanja, koja obuhvaća opće obrazovanje, te druge oblike obrazovanja djece i mladih.</w:t>
      </w:r>
    </w:p>
    <w:p w:rsidR="0065697F" w:rsidRDefault="0065697F" w:rsidP="0065697F">
      <w:pPr>
        <w:pStyle w:val="Bezproreda"/>
        <w:jc w:val="both"/>
        <w:rPr>
          <w:rFonts w:asciiTheme="majorHAnsi" w:hAnsiTheme="majorHAnsi"/>
          <w:szCs w:val="24"/>
        </w:rPr>
      </w:pPr>
      <w:r w:rsidRPr="0065101B">
        <w:rPr>
          <w:rFonts w:asciiTheme="majorHAnsi" w:hAnsiTheme="majorHAnsi"/>
          <w:szCs w:val="24"/>
        </w:rPr>
        <w:t>Djelatnost se ostvaruje na temelju nacionalnog kurikuluma, nastavnih planova i programa i školskog kurikuluma te osiguranjem odgovarajućeg broja učitelja i stručnih suradnika pod uvjetima i na način propisan zakonom.</w:t>
      </w:r>
      <w:r>
        <w:rPr>
          <w:rFonts w:asciiTheme="majorHAnsi" w:hAnsiTheme="majorHAnsi"/>
          <w:szCs w:val="24"/>
        </w:rPr>
        <w:t xml:space="preserve"> </w:t>
      </w:r>
      <w:r w:rsidRPr="0065101B">
        <w:rPr>
          <w:rFonts w:asciiTheme="majorHAnsi" w:hAnsiTheme="majorHAnsi"/>
          <w:szCs w:val="24"/>
        </w:rPr>
        <w:t>Školom upravlja Školski odbor, a čiji rad se pobliže uređuje Statutom Škole, u skladu sa zakonskim propisima.</w:t>
      </w:r>
    </w:p>
    <w:p w:rsidR="0065697F" w:rsidRPr="0065101B" w:rsidRDefault="0065697F" w:rsidP="0065697F">
      <w:pPr>
        <w:pStyle w:val="Bezproreda"/>
        <w:jc w:val="both"/>
        <w:rPr>
          <w:rFonts w:asciiTheme="majorHAnsi" w:hAnsiTheme="majorHAnsi"/>
          <w:sz w:val="16"/>
          <w:szCs w:val="24"/>
        </w:rPr>
      </w:pPr>
    </w:p>
    <w:p w:rsidR="0065697F" w:rsidRPr="0065101B" w:rsidRDefault="0065697F" w:rsidP="0065697F">
      <w:pPr>
        <w:pStyle w:val="Bezproreda"/>
        <w:jc w:val="both"/>
        <w:rPr>
          <w:rFonts w:asciiTheme="majorHAnsi" w:hAnsiTheme="majorHAnsi"/>
          <w:b/>
          <w:szCs w:val="24"/>
        </w:rPr>
      </w:pPr>
      <w:r w:rsidRPr="0065101B">
        <w:rPr>
          <w:rFonts w:asciiTheme="majorHAnsi" w:hAnsiTheme="majorHAnsi"/>
          <w:b/>
          <w:szCs w:val="24"/>
        </w:rPr>
        <w:t>INSTITUCIONALNI OKVIR</w:t>
      </w:r>
    </w:p>
    <w:p w:rsidR="0065697F" w:rsidRPr="0065101B" w:rsidRDefault="0065697F" w:rsidP="0065697F">
      <w:pPr>
        <w:pStyle w:val="Bezproreda"/>
        <w:jc w:val="both"/>
        <w:rPr>
          <w:rFonts w:asciiTheme="majorHAnsi" w:hAnsiTheme="majorHAnsi"/>
          <w:szCs w:val="24"/>
        </w:rPr>
      </w:pPr>
      <w:r w:rsidRPr="0065101B">
        <w:rPr>
          <w:rFonts w:asciiTheme="majorHAnsi" w:hAnsiTheme="majorHAnsi"/>
          <w:szCs w:val="24"/>
        </w:rPr>
        <w:t>U skladu sa Zakonom o proračunu (»Narodne novine«, br. 87/08, 136/12 i 15/15) i Pravilnikom o proračunskom računovodstvu i Računskom planu (»Narodne novine«, br. 124/14, 115/15, 87/16, 3/18) Škola je upisana u Registar korisnika proračuna kao Proračunski korisnik JLP(R)S koji obavlja poslove u sklopu funkcija koje su decentralizirane (razina 31).</w:t>
      </w:r>
    </w:p>
    <w:p w:rsidR="0065697F" w:rsidRDefault="0065697F" w:rsidP="0065697F">
      <w:pPr>
        <w:pStyle w:val="Bezproreda"/>
        <w:jc w:val="both"/>
        <w:rPr>
          <w:rFonts w:asciiTheme="majorHAnsi" w:hAnsiTheme="majorHAnsi"/>
          <w:szCs w:val="24"/>
        </w:rPr>
      </w:pPr>
      <w:r w:rsidRPr="0065101B">
        <w:rPr>
          <w:rFonts w:asciiTheme="majorHAnsi" w:hAnsiTheme="majorHAnsi"/>
          <w:szCs w:val="24"/>
        </w:rPr>
        <w:lastRenderedPageBreak/>
        <w:t>Financijsko izvještavanje definirano je Zakonom i Pravilnikom, a dodatno se tumačenja i naputci objavljuju na stranicama MFIN i FINA-e.</w:t>
      </w:r>
    </w:p>
    <w:p w:rsidR="0065101B" w:rsidRPr="0065101B" w:rsidRDefault="0065101B" w:rsidP="0065101B">
      <w:pPr>
        <w:pStyle w:val="Bezproreda"/>
        <w:jc w:val="both"/>
        <w:rPr>
          <w:rFonts w:asciiTheme="majorHAnsi" w:hAnsiTheme="majorHAnsi"/>
          <w:sz w:val="16"/>
          <w:szCs w:val="24"/>
        </w:rPr>
      </w:pPr>
    </w:p>
    <w:p w:rsidR="0065101B" w:rsidRDefault="00E30206" w:rsidP="00E30206">
      <w:pPr>
        <w:pStyle w:val="Bezproreda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Dana </w:t>
      </w:r>
      <w:r w:rsidR="00067BD4">
        <w:rPr>
          <w:rFonts w:asciiTheme="majorHAnsi" w:hAnsiTheme="majorHAnsi"/>
          <w:szCs w:val="24"/>
        </w:rPr>
        <w:t>27</w:t>
      </w:r>
      <w:r w:rsidR="0065101B" w:rsidRPr="0065101B">
        <w:rPr>
          <w:rFonts w:asciiTheme="majorHAnsi" w:hAnsiTheme="majorHAnsi"/>
          <w:szCs w:val="24"/>
        </w:rPr>
        <w:t>.</w:t>
      </w:r>
      <w:r w:rsidR="0065101B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prosinca</w:t>
      </w:r>
      <w:r w:rsidR="0065101B" w:rsidRPr="0065101B">
        <w:rPr>
          <w:rFonts w:asciiTheme="majorHAnsi" w:hAnsiTheme="majorHAnsi"/>
          <w:szCs w:val="24"/>
        </w:rPr>
        <w:t xml:space="preserve"> 20</w:t>
      </w:r>
      <w:r w:rsidR="00067BD4">
        <w:rPr>
          <w:rFonts w:asciiTheme="majorHAnsi" w:hAnsiTheme="majorHAnsi"/>
          <w:szCs w:val="24"/>
        </w:rPr>
        <w:t>21</w:t>
      </w:r>
      <w:r w:rsidR="0065101B" w:rsidRPr="0065101B">
        <w:rPr>
          <w:rFonts w:asciiTheme="majorHAnsi" w:hAnsiTheme="majorHAnsi"/>
          <w:szCs w:val="24"/>
        </w:rPr>
        <w:t xml:space="preserve">. godine na stranicama MFIN objavljena je </w:t>
      </w:r>
      <w:r w:rsidRPr="00E30206">
        <w:rPr>
          <w:rFonts w:asciiTheme="majorHAnsi" w:hAnsiTheme="majorHAnsi"/>
          <w:szCs w:val="24"/>
        </w:rPr>
        <w:t>Okružnica o sastavljanju, konsolidaciji i predaji financijskih izvještaja</w:t>
      </w:r>
      <w:r>
        <w:rPr>
          <w:rFonts w:asciiTheme="majorHAnsi" w:hAnsiTheme="majorHAnsi"/>
          <w:szCs w:val="24"/>
        </w:rPr>
        <w:t xml:space="preserve"> </w:t>
      </w:r>
      <w:r w:rsidRPr="00E30206">
        <w:rPr>
          <w:rFonts w:asciiTheme="majorHAnsi" w:hAnsiTheme="majorHAnsi"/>
          <w:szCs w:val="24"/>
        </w:rPr>
        <w:t>proračuna, proračunskih i izvanproračunskih korisnika državnog proračuna te</w:t>
      </w:r>
      <w:r>
        <w:rPr>
          <w:rFonts w:asciiTheme="majorHAnsi" w:hAnsiTheme="majorHAnsi"/>
          <w:szCs w:val="24"/>
        </w:rPr>
        <w:t xml:space="preserve"> </w:t>
      </w:r>
      <w:r w:rsidRPr="00E30206">
        <w:rPr>
          <w:rFonts w:asciiTheme="majorHAnsi" w:hAnsiTheme="majorHAnsi"/>
          <w:szCs w:val="24"/>
        </w:rPr>
        <w:t>proračunskih i izvanproračunskih korisnika proračuna jedinica lokalne i</w:t>
      </w:r>
      <w:r>
        <w:rPr>
          <w:rFonts w:asciiTheme="majorHAnsi" w:hAnsiTheme="majorHAnsi"/>
          <w:szCs w:val="24"/>
        </w:rPr>
        <w:t xml:space="preserve"> </w:t>
      </w:r>
      <w:r w:rsidRPr="00E30206">
        <w:rPr>
          <w:rFonts w:asciiTheme="majorHAnsi" w:hAnsiTheme="majorHAnsi"/>
          <w:szCs w:val="24"/>
        </w:rPr>
        <w:t>područne (regionalne) samouprave za razdoblje od 1. siječnja do 31. Prosinca</w:t>
      </w:r>
      <w:r>
        <w:rPr>
          <w:rFonts w:asciiTheme="majorHAnsi" w:hAnsiTheme="majorHAnsi"/>
          <w:szCs w:val="24"/>
        </w:rPr>
        <w:t xml:space="preserve"> </w:t>
      </w:r>
      <w:r w:rsidRPr="00E30206">
        <w:rPr>
          <w:rFonts w:asciiTheme="majorHAnsi" w:hAnsiTheme="majorHAnsi"/>
          <w:szCs w:val="24"/>
        </w:rPr>
        <w:t>202</w:t>
      </w:r>
      <w:r w:rsidR="00067BD4">
        <w:rPr>
          <w:rFonts w:asciiTheme="majorHAnsi" w:hAnsiTheme="majorHAnsi"/>
          <w:szCs w:val="24"/>
        </w:rPr>
        <w:t>1</w:t>
      </w:r>
      <w:r w:rsidRPr="00E30206">
        <w:rPr>
          <w:rFonts w:asciiTheme="majorHAnsi" w:hAnsiTheme="majorHAnsi"/>
          <w:szCs w:val="24"/>
        </w:rPr>
        <w:t>.</w:t>
      </w:r>
      <w:r w:rsidR="0065101B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i/>
          <w:szCs w:val="24"/>
        </w:rPr>
        <w:t xml:space="preserve">(Klasa: </w:t>
      </w:r>
      <w:r w:rsidR="00067BD4" w:rsidRPr="00067BD4">
        <w:rPr>
          <w:rFonts w:asciiTheme="majorHAnsi" w:hAnsiTheme="majorHAnsi"/>
          <w:i/>
          <w:szCs w:val="24"/>
        </w:rPr>
        <w:t>400-02 l2l-01 I 25</w:t>
      </w:r>
      <w:r w:rsidR="0065697F">
        <w:rPr>
          <w:rFonts w:asciiTheme="majorHAnsi" w:hAnsiTheme="majorHAnsi"/>
          <w:i/>
          <w:szCs w:val="24"/>
        </w:rPr>
        <w:t xml:space="preserve">; Urbroj: </w:t>
      </w:r>
      <w:r w:rsidR="00067BD4" w:rsidRPr="00067BD4">
        <w:rPr>
          <w:rFonts w:asciiTheme="majorHAnsi" w:hAnsiTheme="majorHAnsi"/>
          <w:i/>
          <w:szCs w:val="24"/>
        </w:rPr>
        <w:t>513-05-03-21-5</w:t>
      </w:r>
      <w:r w:rsidR="0065101B" w:rsidRPr="0065101B">
        <w:rPr>
          <w:rFonts w:asciiTheme="majorHAnsi" w:hAnsiTheme="majorHAnsi"/>
          <w:i/>
          <w:szCs w:val="24"/>
        </w:rPr>
        <w:t>)</w:t>
      </w:r>
      <w:r w:rsidR="0065101B">
        <w:rPr>
          <w:rFonts w:asciiTheme="majorHAnsi" w:hAnsiTheme="majorHAnsi"/>
          <w:i/>
          <w:szCs w:val="24"/>
        </w:rPr>
        <w:t>.</w:t>
      </w:r>
      <w:r w:rsidR="0065101B" w:rsidRPr="0065101B">
        <w:rPr>
          <w:rFonts w:asciiTheme="majorHAnsi" w:hAnsiTheme="majorHAnsi"/>
          <w:szCs w:val="24"/>
        </w:rPr>
        <w:t xml:space="preserve"> U skladu sa svim naved</w:t>
      </w:r>
      <w:r>
        <w:rPr>
          <w:rFonts w:asciiTheme="majorHAnsi" w:hAnsiTheme="majorHAnsi"/>
          <w:szCs w:val="24"/>
        </w:rPr>
        <w:t>enim Financijsko izvješće za 202</w:t>
      </w:r>
      <w:r w:rsidR="00067BD4">
        <w:rPr>
          <w:rFonts w:asciiTheme="majorHAnsi" w:hAnsiTheme="majorHAnsi"/>
          <w:szCs w:val="24"/>
        </w:rPr>
        <w:t>1</w:t>
      </w:r>
      <w:r w:rsidR="0065101B" w:rsidRPr="0065101B">
        <w:rPr>
          <w:rFonts w:asciiTheme="majorHAnsi" w:hAnsiTheme="majorHAnsi"/>
          <w:szCs w:val="24"/>
        </w:rPr>
        <w:t>. godinu sastavljeno je na Obrascima financijsk</w:t>
      </w:r>
      <w:r>
        <w:rPr>
          <w:rFonts w:asciiTheme="majorHAnsi" w:hAnsiTheme="majorHAnsi"/>
          <w:szCs w:val="24"/>
        </w:rPr>
        <w:t>ih izvještaja - proračun v.</w:t>
      </w:r>
      <w:r w:rsidR="00067BD4">
        <w:rPr>
          <w:rFonts w:asciiTheme="majorHAnsi" w:hAnsiTheme="majorHAnsi"/>
          <w:szCs w:val="24"/>
        </w:rPr>
        <w:t>7</w:t>
      </w:r>
      <w:r>
        <w:rPr>
          <w:rFonts w:asciiTheme="majorHAnsi" w:hAnsiTheme="majorHAnsi"/>
          <w:szCs w:val="24"/>
        </w:rPr>
        <w:t>.0.</w:t>
      </w:r>
      <w:r w:rsidR="00067BD4">
        <w:rPr>
          <w:rFonts w:asciiTheme="majorHAnsi" w:hAnsiTheme="majorHAnsi"/>
          <w:szCs w:val="24"/>
        </w:rPr>
        <w:t>4</w:t>
      </w:r>
      <w:r w:rsidR="0065101B" w:rsidRPr="0065101B">
        <w:rPr>
          <w:rFonts w:asciiTheme="majorHAnsi" w:hAnsiTheme="majorHAnsi"/>
          <w:szCs w:val="24"/>
        </w:rPr>
        <w:t>., te se u nastavku daju bilješke po obrascima:</w:t>
      </w:r>
    </w:p>
    <w:p w:rsidR="008E5048" w:rsidRPr="00F00C7B" w:rsidRDefault="008E5048" w:rsidP="0065101B">
      <w:pPr>
        <w:pStyle w:val="Bezproreda"/>
        <w:jc w:val="both"/>
        <w:rPr>
          <w:rFonts w:asciiTheme="majorHAnsi" w:hAnsiTheme="majorHAnsi"/>
          <w:szCs w:val="24"/>
        </w:rPr>
      </w:pPr>
    </w:p>
    <w:p w:rsidR="00385BEF" w:rsidRDefault="00385BEF" w:rsidP="00385BEF">
      <w:pPr>
        <w:pStyle w:val="Bezproreda"/>
        <w:rPr>
          <w:rFonts w:asciiTheme="majorHAnsi" w:hAnsiTheme="majorHAnsi"/>
          <w:szCs w:val="24"/>
        </w:rPr>
      </w:pPr>
    </w:p>
    <w:p w:rsidR="00385BEF" w:rsidRDefault="00385BEF" w:rsidP="00F95BB0">
      <w:pPr>
        <w:pStyle w:val="Bezproreda"/>
        <w:shd w:val="clear" w:color="auto" w:fill="000000" w:themeFill="text1"/>
        <w:rPr>
          <w:rFonts w:asciiTheme="majorHAnsi" w:hAnsiTheme="majorHAnsi"/>
          <w:b/>
          <w:szCs w:val="24"/>
        </w:rPr>
      </w:pPr>
      <w:r w:rsidRPr="00196D2B">
        <w:rPr>
          <w:rFonts w:asciiTheme="majorHAnsi" w:hAnsiTheme="majorHAnsi"/>
          <w:b/>
          <w:szCs w:val="24"/>
        </w:rPr>
        <w:t>Bilješke uz bilancu:</w:t>
      </w:r>
    </w:p>
    <w:p w:rsidR="00F95BB0" w:rsidRDefault="00F95BB0" w:rsidP="00385BEF">
      <w:pPr>
        <w:pStyle w:val="Bezproreda"/>
        <w:rPr>
          <w:rFonts w:asciiTheme="majorHAnsi" w:hAnsiTheme="majorHAnsi"/>
          <w:b/>
          <w:szCs w:val="24"/>
        </w:rPr>
      </w:pPr>
    </w:p>
    <w:p w:rsidR="00F95BB0" w:rsidRDefault="00DA328B" w:rsidP="00DA328B">
      <w:pPr>
        <w:pStyle w:val="Bezproreda"/>
        <w:jc w:val="both"/>
        <w:rPr>
          <w:rFonts w:asciiTheme="majorHAnsi" w:hAnsiTheme="majorHAnsi"/>
          <w:szCs w:val="24"/>
        </w:rPr>
      </w:pPr>
      <w:r w:rsidRPr="00DA328B">
        <w:rPr>
          <w:rFonts w:asciiTheme="majorHAnsi" w:hAnsiTheme="majorHAnsi"/>
          <w:b/>
          <w:szCs w:val="24"/>
        </w:rPr>
        <w:t xml:space="preserve">AOP 002-062 </w:t>
      </w:r>
      <w:r w:rsidRPr="00DA328B">
        <w:rPr>
          <w:rFonts w:asciiTheme="majorHAnsi" w:hAnsiTheme="majorHAnsi"/>
          <w:szCs w:val="24"/>
        </w:rPr>
        <w:t xml:space="preserve">U obrascu BIL prikazana je vrijednost nefinancijske imovine: dugotrajne imovine, građevinskih objekata, postrojenja i opreme; u ukupnoj vrijednosti </w:t>
      </w:r>
      <w:r w:rsidR="00067BD4">
        <w:rPr>
          <w:rFonts w:asciiTheme="majorHAnsi" w:hAnsiTheme="majorHAnsi"/>
          <w:szCs w:val="24"/>
        </w:rPr>
        <w:t>8.004.141</w:t>
      </w:r>
      <w:r w:rsidR="00016FC7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kn</w:t>
      </w:r>
      <w:r w:rsidR="00016FC7">
        <w:rPr>
          <w:rFonts w:asciiTheme="majorHAnsi" w:hAnsiTheme="majorHAnsi"/>
          <w:szCs w:val="24"/>
        </w:rPr>
        <w:t xml:space="preserve"> na dan 1.1.202</w:t>
      </w:r>
      <w:r w:rsidR="00067BD4">
        <w:rPr>
          <w:rFonts w:asciiTheme="majorHAnsi" w:hAnsiTheme="majorHAnsi"/>
          <w:szCs w:val="24"/>
        </w:rPr>
        <w:t>1</w:t>
      </w:r>
      <w:r w:rsidRPr="00DA328B">
        <w:rPr>
          <w:rFonts w:asciiTheme="majorHAnsi" w:hAnsiTheme="majorHAnsi"/>
          <w:szCs w:val="24"/>
        </w:rPr>
        <w:t xml:space="preserve">., te u vrijednosti od </w:t>
      </w:r>
      <w:r w:rsidR="00067BD4">
        <w:rPr>
          <w:rFonts w:asciiTheme="majorHAnsi" w:hAnsiTheme="majorHAnsi"/>
          <w:szCs w:val="24"/>
        </w:rPr>
        <w:t>7.912.922</w:t>
      </w:r>
      <w:r w:rsidR="00016FC7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kn</w:t>
      </w:r>
      <w:r w:rsidR="00016FC7">
        <w:rPr>
          <w:rFonts w:asciiTheme="majorHAnsi" w:hAnsiTheme="majorHAnsi"/>
          <w:szCs w:val="24"/>
        </w:rPr>
        <w:t xml:space="preserve"> na dan 31.12.202</w:t>
      </w:r>
      <w:r w:rsidR="00067BD4">
        <w:rPr>
          <w:rFonts w:asciiTheme="majorHAnsi" w:hAnsiTheme="majorHAnsi"/>
          <w:szCs w:val="24"/>
        </w:rPr>
        <w:t>1</w:t>
      </w:r>
      <w:r w:rsidRPr="00DA328B">
        <w:rPr>
          <w:rFonts w:asciiTheme="majorHAnsi" w:hAnsiTheme="majorHAnsi"/>
          <w:szCs w:val="24"/>
        </w:rPr>
        <w:t>. a s kojim datumom je obračunat je i ispravak vrijednosti po zakonskim stopama.</w:t>
      </w:r>
    </w:p>
    <w:p w:rsidR="00DA328B" w:rsidRPr="00DA328B" w:rsidRDefault="00DA328B" w:rsidP="00DA328B">
      <w:pPr>
        <w:pStyle w:val="Bezproreda"/>
        <w:jc w:val="both"/>
        <w:rPr>
          <w:rFonts w:asciiTheme="majorHAnsi" w:hAnsiTheme="majorHAnsi"/>
          <w:sz w:val="16"/>
          <w:szCs w:val="24"/>
        </w:rPr>
      </w:pPr>
    </w:p>
    <w:p w:rsidR="00DA328B" w:rsidRPr="00DA328B" w:rsidRDefault="00DA328B" w:rsidP="00DA328B">
      <w:pPr>
        <w:pStyle w:val="Bezproreda"/>
        <w:jc w:val="both"/>
        <w:rPr>
          <w:rFonts w:asciiTheme="majorHAnsi" w:hAnsiTheme="majorHAnsi"/>
          <w:szCs w:val="24"/>
        </w:rPr>
      </w:pPr>
      <w:r w:rsidRPr="00DA328B">
        <w:rPr>
          <w:rFonts w:asciiTheme="majorHAnsi" w:hAnsiTheme="majorHAnsi"/>
          <w:b/>
          <w:szCs w:val="24"/>
        </w:rPr>
        <w:t>AOP 063-161</w:t>
      </w:r>
      <w:r w:rsidRPr="00DA328B">
        <w:rPr>
          <w:rFonts w:asciiTheme="majorHAnsi" w:hAnsiTheme="majorHAnsi"/>
          <w:szCs w:val="24"/>
        </w:rPr>
        <w:t xml:space="preserve"> Financijsku imovina čine novčana sredstva na računu u poslovnoj banci, novac u blagajni, te potraživanja za prihode poslovanja.</w:t>
      </w:r>
    </w:p>
    <w:p w:rsidR="00DA328B" w:rsidRPr="00DA328B" w:rsidRDefault="00016FC7" w:rsidP="00DA328B">
      <w:pPr>
        <w:pStyle w:val="Bezproreda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Na dan 31.12.202</w:t>
      </w:r>
      <w:r w:rsidR="00067BD4">
        <w:rPr>
          <w:rFonts w:asciiTheme="majorHAnsi" w:hAnsiTheme="majorHAnsi"/>
          <w:szCs w:val="24"/>
        </w:rPr>
        <w:t>1</w:t>
      </w:r>
      <w:r w:rsidR="00DA328B" w:rsidRPr="00DA328B">
        <w:rPr>
          <w:rFonts w:asciiTheme="majorHAnsi" w:hAnsiTheme="majorHAnsi"/>
          <w:szCs w:val="24"/>
        </w:rPr>
        <w:t xml:space="preserve">. imali smo </w:t>
      </w:r>
      <w:r w:rsidR="00067BD4">
        <w:rPr>
          <w:rFonts w:asciiTheme="majorHAnsi" w:hAnsiTheme="majorHAnsi"/>
          <w:szCs w:val="24"/>
        </w:rPr>
        <w:t>37.414</w:t>
      </w:r>
      <w:r w:rsidR="00DA328B">
        <w:rPr>
          <w:rFonts w:asciiTheme="majorHAnsi" w:hAnsiTheme="majorHAnsi"/>
          <w:szCs w:val="24"/>
        </w:rPr>
        <w:t xml:space="preserve"> kn</w:t>
      </w:r>
      <w:r w:rsidR="00DA328B" w:rsidRPr="00DA328B">
        <w:rPr>
          <w:rFonts w:asciiTheme="majorHAnsi" w:hAnsiTheme="majorHAnsi"/>
          <w:szCs w:val="24"/>
        </w:rPr>
        <w:t xml:space="preserve"> novčanih sredstava</w:t>
      </w:r>
      <w:r w:rsidR="00DA328B">
        <w:rPr>
          <w:rFonts w:asciiTheme="majorHAnsi" w:hAnsiTheme="majorHAnsi"/>
          <w:szCs w:val="24"/>
        </w:rPr>
        <w:t xml:space="preserve">, sve </w:t>
      </w:r>
      <w:r w:rsidR="00DA328B" w:rsidRPr="00DA328B">
        <w:rPr>
          <w:rFonts w:asciiTheme="majorHAnsi" w:hAnsiTheme="majorHAnsi"/>
          <w:szCs w:val="24"/>
        </w:rPr>
        <w:t xml:space="preserve">na poslovnom računu banke (stanje </w:t>
      </w:r>
      <w:r w:rsidR="00067BD4">
        <w:rPr>
          <w:rFonts w:asciiTheme="majorHAnsi" w:hAnsiTheme="majorHAnsi"/>
          <w:szCs w:val="24"/>
        </w:rPr>
        <w:t>je iskazano na izvodu banke br 127</w:t>
      </w:r>
      <w:r w:rsidR="00DA328B">
        <w:rPr>
          <w:rFonts w:asciiTheme="majorHAnsi" w:hAnsiTheme="majorHAnsi"/>
          <w:szCs w:val="24"/>
        </w:rPr>
        <w:t>).</w:t>
      </w:r>
    </w:p>
    <w:p w:rsidR="00DA328B" w:rsidRDefault="00DA328B" w:rsidP="00DA328B">
      <w:pPr>
        <w:pStyle w:val="Bezproreda"/>
        <w:jc w:val="both"/>
        <w:rPr>
          <w:rFonts w:asciiTheme="majorHAnsi" w:hAnsiTheme="majorHAnsi"/>
          <w:szCs w:val="24"/>
        </w:rPr>
      </w:pPr>
      <w:r w:rsidRPr="00DA328B">
        <w:rPr>
          <w:rFonts w:asciiTheme="majorHAnsi" w:hAnsiTheme="majorHAnsi"/>
          <w:szCs w:val="24"/>
        </w:rPr>
        <w:t xml:space="preserve">Na računu 19311 prikazani su kontinuirani rashodi budućeg razdoblja- aktivna vremenska razgraničenja, tj. obračun plaće za prosinac, a koja </w:t>
      </w:r>
      <w:r w:rsidR="00B46B1A">
        <w:rPr>
          <w:rFonts w:asciiTheme="majorHAnsi" w:hAnsiTheme="majorHAnsi"/>
          <w:szCs w:val="24"/>
        </w:rPr>
        <w:t>će biti isplaćena u siječnju 202</w:t>
      </w:r>
      <w:r w:rsidR="00067BD4">
        <w:rPr>
          <w:rFonts w:asciiTheme="majorHAnsi" w:hAnsiTheme="majorHAnsi"/>
          <w:szCs w:val="24"/>
        </w:rPr>
        <w:t>1</w:t>
      </w:r>
      <w:r w:rsidRPr="00DA328B">
        <w:rPr>
          <w:rFonts w:asciiTheme="majorHAnsi" w:hAnsiTheme="majorHAnsi"/>
          <w:szCs w:val="24"/>
        </w:rPr>
        <w:t xml:space="preserve">. godine u iznosu </w:t>
      </w:r>
      <w:r w:rsidR="00067BD4">
        <w:rPr>
          <w:rFonts w:asciiTheme="majorHAnsi" w:hAnsiTheme="majorHAnsi"/>
          <w:szCs w:val="24"/>
        </w:rPr>
        <w:t>251.191</w:t>
      </w:r>
      <w:r>
        <w:rPr>
          <w:rFonts w:asciiTheme="majorHAnsi" w:hAnsiTheme="majorHAnsi"/>
          <w:szCs w:val="24"/>
        </w:rPr>
        <w:t xml:space="preserve"> kn</w:t>
      </w:r>
      <w:r w:rsidRPr="00DA328B">
        <w:rPr>
          <w:rFonts w:asciiTheme="majorHAnsi" w:hAnsiTheme="majorHAnsi"/>
          <w:szCs w:val="24"/>
        </w:rPr>
        <w:t>.</w:t>
      </w:r>
    </w:p>
    <w:p w:rsidR="001731B8" w:rsidRPr="001731B8" w:rsidRDefault="001731B8" w:rsidP="00DA328B">
      <w:pPr>
        <w:pStyle w:val="Bezproreda"/>
        <w:jc w:val="both"/>
        <w:rPr>
          <w:rFonts w:asciiTheme="majorHAnsi" w:hAnsiTheme="majorHAnsi"/>
          <w:sz w:val="16"/>
          <w:szCs w:val="24"/>
        </w:rPr>
      </w:pPr>
    </w:p>
    <w:p w:rsidR="0058193D" w:rsidRDefault="001731B8" w:rsidP="001731B8">
      <w:pPr>
        <w:pStyle w:val="Bezproreda"/>
        <w:jc w:val="both"/>
        <w:rPr>
          <w:rFonts w:asciiTheme="majorHAnsi" w:hAnsiTheme="majorHAnsi"/>
          <w:szCs w:val="24"/>
        </w:rPr>
      </w:pPr>
      <w:r w:rsidRPr="001731B8">
        <w:rPr>
          <w:rFonts w:asciiTheme="majorHAnsi" w:hAnsiTheme="majorHAnsi"/>
          <w:b/>
          <w:szCs w:val="24"/>
        </w:rPr>
        <w:t>AOP 162-240</w:t>
      </w:r>
      <w:r w:rsidRPr="001731B8">
        <w:rPr>
          <w:rFonts w:asciiTheme="majorHAnsi" w:hAnsiTheme="majorHAnsi"/>
          <w:szCs w:val="24"/>
        </w:rPr>
        <w:t xml:space="preserve"> Obveze prikazane na računima razreda 2 prikazuju obveze za rashode nastale temeljem vjerodostojne knjigovodstvene evidencije, a u okviru podračuna 23; o</w:t>
      </w:r>
      <w:r w:rsidR="00016FC7">
        <w:rPr>
          <w:rFonts w:asciiTheme="majorHAnsi" w:hAnsiTheme="majorHAnsi"/>
          <w:szCs w:val="24"/>
        </w:rPr>
        <w:t>bveze za zaposlene (plaća 12/202</w:t>
      </w:r>
      <w:r w:rsidR="00067BD4">
        <w:rPr>
          <w:rFonts w:asciiTheme="majorHAnsi" w:hAnsiTheme="majorHAnsi"/>
          <w:szCs w:val="24"/>
        </w:rPr>
        <w:t>1</w:t>
      </w:r>
      <w:r w:rsidRPr="001731B8">
        <w:rPr>
          <w:rFonts w:asciiTheme="majorHAnsi" w:hAnsiTheme="majorHAnsi"/>
          <w:szCs w:val="24"/>
        </w:rPr>
        <w:t>),</w:t>
      </w:r>
      <w:r w:rsidR="0058193D">
        <w:rPr>
          <w:rFonts w:asciiTheme="majorHAnsi" w:hAnsiTheme="majorHAnsi"/>
          <w:szCs w:val="24"/>
        </w:rPr>
        <w:t xml:space="preserve"> naknade</w:t>
      </w:r>
      <w:r w:rsidR="00B46B1A">
        <w:rPr>
          <w:rFonts w:asciiTheme="majorHAnsi" w:hAnsiTheme="majorHAnsi"/>
          <w:szCs w:val="24"/>
        </w:rPr>
        <w:t xml:space="preserve"> zbog nezapošljavanja invalida </w:t>
      </w:r>
      <w:r w:rsidRPr="001731B8">
        <w:rPr>
          <w:rFonts w:asciiTheme="majorHAnsi" w:hAnsiTheme="majorHAnsi"/>
          <w:szCs w:val="24"/>
        </w:rPr>
        <w:t>i obveze za materijalne rashode (režijski troškovi prosinac, nedospjeli računi).</w:t>
      </w:r>
      <w:r w:rsidR="0058193D">
        <w:rPr>
          <w:rFonts w:asciiTheme="majorHAnsi" w:hAnsiTheme="majorHAnsi"/>
          <w:szCs w:val="24"/>
        </w:rPr>
        <w:t xml:space="preserve"> </w:t>
      </w:r>
    </w:p>
    <w:p w:rsidR="00F95BB0" w:rsidRPr="00196D2B" w:rsidRDefault="00F95BB0" w:rsidP="00385BEF">
      <w:pPr>
        <w:pStyle w:val="Bezproreda"/>
        <w:rPr>
          <w:rFonts w:asciiTheme="majorHAnsi" w:hAnsiTheme="majorHAnsi"/>
          <w:b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7"/>
        <w:gridCol w:w="3101"/>
        <w:gridCol w:w="1060"/>
        <w:gridCol w:w="1770"/>
        <w:gridCol w:w="2012"/>
        <w:gridCol w:w="1162"/>
      </w:tblGrid>
      <w:tr w:rsidR="00B67B63" w:rsidRPr="00196D2B" w:rsidTr="00016FC7">
        <w:tc>
          <w:tcPr>
            <w:tcW w:w="937" w:type="dxa"/>
            <w:shd w:val="clear" w:color="auto" w:fill="000000" w:themeFill="text1"/>
          </w:tcPr>
          <w:p w:rsidR="00385BEF" w:rsidRPr="00196D2B" w:rsidRDefault="00385BEF" w:rsidP="00F71FFF">
            <w:pPr>
              <w:pStyle w:val="Bezproreda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Račun</w:t>
            </w:r>
          </w:p>
        </w:tc>
        <w:tc>
          <w:tcPr>
            <w:tcW w:w="3101" w:type="dxa"/>
            <w:shd w:val="clear" w:color="auto" w:fill="000000" w:themeFill="text1"/>
          </w:tcPr>
          <w:p w:rsidR="00385BEF" w:rsidRPr="00196D2B" w:rsidRDefault="00385BEF" w:rsidP="00F71FFF">
            <w:pPr>
              <w:pStyle w:val="Bezproreda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OPIS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85BEF" w:rsidRPr="00196D2B" w:rsidRDefault="00385BEF" w:rsidP="00F71FFF">
            <w:pPr>
              <w:pStyle w:val="Bezproreda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AOP</w:t>
            </w:r>
          </w:p>
        </w:tc>
        <w:tc>
          <w:tcPr>
            <w:tcW w:w="1770" w:type="dxa"/>
            <w:shd w:val="clear" w:color="auto" w:fill="000000" w:themeFill="text1"/>
          </w:tcPr>
          <w:p w:rsidR="00385BEF" w:rsidRPr="00196D2B" w:rsidRDefault="00B46B1A" w:rsidP="00016FC7">
            <w:pPr>
              <w:pStyle w:val="Bezproreda"/>
              <w:jc w:val="right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Cs w:val="24"/>
              </w:rPr>
              <w:t>31.12.201</w:t>
            </w:r>
            <w:r w:rsidR="00016FC7">
              <w:rPr>
                <w:rFonts w:asciiTheme="majorHAnsi" w:hAnsiTheme="majorHAnsi"/>
                <w:b/>
                <w:color w:val="FFFFFF" w:themeColor="background1"/>
                <w:szCs w:val="24"/>
              </w:rPr>
              <w:t>9</w:t>
            </w:r>
            <w:r w:rsidR="00385BEF"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.</w:t>
            </w:r>
          </w:p>
        </w:tc>
        <w:tc>
          <w:tcPr>
            <w:tcW w:w="2012" w:type="dxa"/>
            <w:shd w:val="clear" w:color="auto" w:fill="000000" w:themeFill="text1"/>
          </w:tcPr>
          <w:p w:rsidR="00385BEF" w:rsidRPr="00196D2B" w:rsidRDefault="00B46B1A" w:rsidP="00016FC7">
            <w:pPr>
              <w:pStyle w:val="Bezproreda"/>
              <w:jc w:val="right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Cs w:val="24"/>
              </w:rPr>
              <w:t>31.12.20</w:t>
            </w:r>
            <w:r w:rsidR="00016FC7">
              <w:rPr>
                <w:rFonts w:asciiTheme="majorHAnsi" w:hAnsiTheme="majorHAnsi"/>
                <w:b/>
                <w:color w:val="FFFFFF" w:themeColor="background1"/>
                <w:szCs w:val="24"/>
              </w:rPr>
              <w:t>20</w:t>
            </w:r>
            <w:r w:rsidR="00385BEF"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.</w:t>
            </w:r>
          </w:p>
        </w:tc>
        <w:tc>
          <w:tcPr>
            <w:tcW w:w="1162" w:type="dxa"/>
            <w:shd w:val="clear" w:color="auto" w:fill="000000" w:themeFill="text1"/>
          </w:tcPr>
          <w:p w:rsidR="00385BEF" w:rsidRPr="00196D2B" w:rsidRDefault="00385BEF" w:rsidP="00F71FFF">
            <w:pPr>
              <w:pStyle w:val="Bezproreda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Indeks</w:t>
            </w:r>
          </w:p>
        </w:tc>
      </w:tr>
      <w:tr w:rsidR="00016FC7" w:rsidTr="00016FC7">
        <w:tc>
          <w:tcPr>
            <w:tcW w:w="937" w:type="dxa"/>
          </w:tcPr>
          <w:p w:rsidR="00016FC7" w:rsidRDefault="00016FC7" w:rsidP="00F71FFF">
            <w:pPr>
              <w:pStyle w:val="Bezproreda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0227</w:t>
            </w:r>
          </w:p>
        </w:tc>
        <w:tc>
          <w:tcPr>
            <w:tcW w:w="3101" w:type="dxa"/>
          </w:tcPr>
          <w:p w:rsidR="00016FC7" w:rsidRDefault="00016FC7" w:rsidP="00F71FFF">
            <w:pPr>
              <w:pStyle w:val="Bezproreda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Uređaji, strojevi i oprema za ostale namjene</w:t>
            </w:r>
          </w:p>
        </w:tc>
        <w:tc>
          <w:tcPr>
            <w:tcW w:w="1060" w:type="dxa"/>
            <w:shd w:val="clear" w:color="auto" w:fill="BFBFBF" w:themeFill="background1" w:themeFillShade="BF"/>
          </w:tcPr>
          <w:p w:rsidR="00016FC7" w:rsidRDefault="00016FC7" w:rsidP="00F71FFF">
            <w:pPr>
              <w:pStyle w:val="Bezproreda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021</w:t>
            </w:r>
          </w:p>
        </w:tc>
        <w:tc>
          <w:tcPr>
            <w:tcW w:w="1770" w:type="dxa"/>
          </w:tcPr>
          <w:p w:rsidR="00016FC7" w:rsidRDefault="00016FC7" w:rsidP="00F71FFF">
            <w:pPr>
              <w:pStyle w:val="Bezproreda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14.604</w:t>
            </w:r>
          </w:p>
        </w:tc>
        <w:tc>
          <w:tcPr>
            <w:tcW w:w="2012" w:type="dxa"/>
          </w:tcPr>
          <w:p w:rsidR="00016FC7" w:rsidRDefault="00016FC7" w:rsidP="00F71FFF">
            <w:pPr>
              <w:pStyle w:val="Bezproreda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23.596</w:t>
            </w:r>
          </w:p>
        </w:tc>
        <w:tc>
          <w:tcPr>
            <w:tcW w:w="1162" w:type="dxa"/>
          </w:tcPr>
          <w:p w:rsidR="00016FC7" w:rsidRDefault="00016FC7" w:rsidP="00F71FFF">
            <w:pPr>
              <w:pStyle w:val="Bezproreda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161,6</w:t>
            </w:r>
          </w:p>
        </w:tc>
      </w:tr>
      <w:tr w:rsidR="00016FC7" w:rsidTr="00016FC7">
        <w:tc>
          <w:tcPr>
            <w:tcW w:w="937" w:type="dxa"/>
          </w:tcPr>
          <w:p w:rsidR="00016FC7" w:rsidRDefault="00016FC7" w:rsidP="00F71FFF">
            <w:pPr>
              <w:pStyle w:val="Bezproreda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0241</w:t>
            </w:r>
          </w:p>
        </w:tc>
        <w:tc>
          <w:tcPr>
            <w:tcW w:w="3101" w:type="dxa"/>
          </w:tcPr>
          <w:p w:rsidR="00016FC7" w:rsidRDefault="00016FC7" w:rsidP="00F71FFF">
            <w:pPr>
              <w:pStyle w:val="Bezproreda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Knjige</w:t>
            </w:r>
          </w:p>
        </w:tc>
        <w:tc>
          <w:tcPr>
            <w:tcW w:w="1060" w:type="dxa"/>
            <w:shd w:val="clear" w:color="auto" w:fill="BFBFBF" w:themeFill="background1" w:themeFillShade="BF"/>
          </w:tcPr>
          <w:p w:rsidR="00016FC7" w:rsidRDefault="00016FC7" w:rsidP="00F71FFF">
            <w:pPr>
              <w:pStyle w:val="Bezproreda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031</w:t>
            </w:r>
          </w:p>
        </w:tc>
        <w:tc>
          <w:tcPr>
            <w:tcW w:w="1770" w:type="dxa"/>
          </w:tcPr>
          <w:p w:rsidR="00016FC7" w:rsidRDefault="00016FC7" w:rsidP="00F71FFF">
            <w:pPr>
              <w:pStyle w:val="Bezproreda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229</w:t>
            </w:r>
            <w:r w:rsidR="00F31145">
              <w:rPr>
                <w:rFonts w:asciiTheme="majorHAnsi" w:hAnsiTheme="majorHAnsi"/>
                <w:szCs w:val="24"/>
              </w:rPr>
              <w:t>.</w:t>
            </w:r>
            <w:r>
              <w:rPr>
                <w:rFonts w:asciiTheme="majorHAnsi" w:hAnsiTheme="majorHAnsi"/>
                <w:szCs w:val="24"/>
              </w:rPr>
              <w:t>953</w:t>
            </w:r>
          </w:p>
        </w:tc>
        <w:tc>
          <w:tcPr>
            <w:tcW w:w="2012" w:type="dxa"/>
          </w:tcPr>
          <w:p w:rsidR="00016FC7" w:rsidRDefault="00F31145" w:rsidP="00F71FFF">
            <w:pPr>
              <w:pStyle w:val="Bezproreda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278.874</w:t>
            </w:r>
          </w:p>
        </w:tc>
        <w:tc>
          <w:tcPr>
            <w:tcW w:w="1162" w:type="dxa"/>
          </w:tcPr>
          <w:p w:rsidR="00016FC7" w:rsidRDefault="00F31145" w:rsidP="00F71FFF">
            <w:pPr>
              <w:pStyle w:val="Bezproreda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121,3</w:t>
            </w:r>
          </w:p>
        </w:tc>
      </w:tr>
      <w:tr w:rsidR="00016FC7" w:rsidTr="00016FC7">
        <w:tc>
          <w:tcPr>
            <w:tcW w:w="937" w:type="dxa"/>
          </w:tcPr>
          <w:p w:rsidR="00016FC7" w:rsidRDefault="00016FC7" w:rsidP="00F71FFF">
            <w:pPr>
              <w:pStyle w:val="Bezproreda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01" w:type="dxa"/>
          </w:tcPr>
          <w:p w:rsidR="00016FC7" w:rsidRDefault="00016FC7" w:rsidP="00F71FFF">
            <w:pPr>
              <w:pStyle w:val="Bezproreda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60" w:type="dxa"/>
            <w:shd w:val="clear" w:color="auto" w:fill="BFBFBF" w:themeFill="background1" w:themeFillShade="BF"/>
          </w:tcPr>
          <w:p w:rsidR="00016FC7" w:rsidRDefault="00016FC7" w:rsidP="00F71FFF">
            <w:pPr>
              <w:pStyle w:val="Bezproreda"/>
              <w:rPr>
                <w:rFonts w:asciiTheme="majorHAnsi" w:hAnsiTheme="majorHAnsi"/>
                <w:szCs w:val="24"/>
              </w:rPr>
            </w:pPr>
          </w:p>
        </w:tc>
        <w:tc>
          <w:tcPr>
            <w:tcW w:w="1770" w:type="dxa"/>
          </w:tcPr>
          <w:p w:rsidR="00016FC7" w:rsidRDefault="00016FC7" w:rsidP="00F71FFF">
            <w:pPr>
              <w:pStyle w:val="Bezproreda"/>
              <w:jc w:val="right"/>
              <w:rPr>
                <w:rFonts w:asciiTheme="majorHAnsi" w:hAnsiTheme="majorHAnsi"/>
                <w:szCs w:val="24"/>
              </w:rPr>
            </w:pPr>
          </w:p>
        </w:tc>
        <w:tc>
          <w:tcPr>
            <w:tcW w:w="2012" w:type="dxa"/>
          </w:tcPr>
          <w:p w:rsidR="00016FC7" w:rsidRDefault="00016FC7" w:rsidP="00F71FFF">
            <w:pPr>
              <w:pStyle w:val="Bezproreda"/>
              <w:jc w:val="right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62" w:type="dxa"/>
          </w:tcPr>
          <w:p w:rsidR="00016FC7" w:rsidRDefault="00016FC7" w:rsidP="00F71FFF">
            <w:pPr>
              <w:pStyle w:val="Bezproreda"/>
              <w:jc w:val="right"/>
              <w:rPr>
                <w:rFonts w:asciiTheme="majorHAnsi" w:hAnsiTheme="majorHAnsi"/>
                <w:szCs w:val="24"/>
              </w:rPr>
            </w:pPr>
          </w:p>
        </w:tc>
      </w:tr>
    </w:tbl>
    <w:p w:rsidR="00385BEF" w:rsidRDefault="00385BEF" w:rsidP="00385BEF">
      <w:pPr>
        <w:pStyle w:val="Bezproreda"/>
        <w:rPr>
          <w:rFonts w:asciiTheme="majorHAnsi" w:hAnsiTheme="majorHAnsi"/>
          <w:szCs w:val="24"/>
        </w:rPr>
      </w:pPr>
    </w:p>
    <w:p w:rsidR="00385BEF" w:rsidRPr="00194FB5" w:rsidRDefault="00385BEF" w:rsidP="00385BEF">
      <w:pPr>
        <w:pStyle w:val="Bezproreda"/>
        <w:rPr>
          <w:rFonts w:asciiTheme="majorHAnsi" w:hAnsiTheme="majorHAnsi"/>
          <w:b/>
          <w:szCs w:val="24"/>
        </w:rPr>
      </w:pPr>
      <w:r w:rsidRPr="00194FB5">
        <w:rPr>
          <w:rFonts w:asciiTheme="majorHAnsi" w:hAnsiTheme="majorHAnsi"/>
          <w:b/>
          <w:szCs w:val="24"/>
        </w:rPr>
        <w:t>AOP 002 – Nefinancijska imovina</w:t>
      </w:r>
    </w:p>
    <w:p w:rsidR="00432F62" w:rsidRDefault="00385BEF" w:rsidP="00385BEF">
      <w:pPr>
        <w:pStyle w:val="Bezproreda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Indeks nefinancijske imovine u odnosu na kraj prošle godine je </w:t>
      </w:r>
      <w:r w:rsidR="00FE2984">
        <w:rPr>
          <w:rFonts w:asciiTheme="majorHAnsi" w:hAnsiTheme="majorHAnsi"/>
          <w:szCs w:val="24"/>
        </w:rPr>
        <w:t>98,9</w:t>
      </w:r>
      <w:r>
        <w:rPr>
          <w:rFonts w:asciiTheme="majorHAnsi" w:hAnsiTheme="majorHAnsi"/>
          <w:szCs w:val="24"/>
        </w:rPr>
        <w:t>.</w:t>
      </w:r>
      <w:r w:rsidR="00B67B63">
        <w:rPr>
          <w:rFonts w:asciiTheme="majorHAnsi" w:hAnsiTheme="majorHAnsi"/>
          <w:szCs w:val="24"/>
        </w:rPr>
        <w:t xml:space="preserve"> </w:t>
      </w:r>
      <w:r w:rsidR="00FE2984">
        <w:rPr>
          <w:rFonts w:asciiTheme="majorHAnsi" w:hAnsiTheme="majorHAnsi"/>
          <w:szCs w:val="24"/>
        </w:rPr>
        <w:t>Škola je u 2021</w:t>
      </w:r>
      <w:r w:rsidR="00432F62">
        <w:rPr>
          <w:rFonts w:asciiTheme="majorHAnsi" w:hAnsiTheme="majorHAnsi"/>
          <w:szCs w:val="24"/>
        </w:rPr>
        <w:t>. godini nabavila:</w:t>
      </w:r>
    </w:p>
    <w:p w:rsidR="00432F62" w:rsidRDefault="00432F62" w:rsidP="00385BEF">
      <w:pPr>
        <w:pStyle w:val="Bezproreda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Uređaja: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 w:rsidR="00FE2984">
        <w:rPr>
          <w:rFonts w:asciiTheme="majorHAnsi" w:hAnsiTheme="majorHAnsi"/>
          <w:szCs w:val="24"/>
        </w:rPr>
        <w:t>38.356</w:t>
      </w:r>
      <w:r w:rsidR="00B46B1A">
        <w:rPr>
          <w:rFonts w:asciiTheme="majorHAnsi" w:hAnsiTheme="majorHAnsi"/>
          <w:szCs w:val="24"/>
        </w:rPr>
        <w:t>k</w:t>
      </w:r>
      <w:r>
        <w:rPr>
          <w:rFonts w:asciiTheme="majorHAnsi" w:hAnsiTheme="majorHAnsi"/>
          <w:szCs w:val="24"/>
        </w:rPr>
        <w:t>n (</w:t>
      </w:r>
      <w:r w:rsidR="00E1596C">
        <w:rPr>
          <w:rFonts w:asciiTheme="majorHAnsi" w:hAnsiTheme="majorHAnsi"/>
          <w:szCs w:val="24"/>
        </w:rPr>
        <w:t>AOP 021)</w:t>
      </w:r>
      <w:r w:rsidR="00F31145">
        <w:rPr>
          <w:rFonts w:asciiTheme="majorHAnsi" w:hAnsiTheme="majorHAnsi"/>
          <w:szCs w:val="24"/>
        </w:rPr>
        <w:t xml:space="preserve"> </w:t>
      </w:r>
    </w:p>
    <w:p w:rsidR="00385BEF" w:rsidRDefault="00B67B63" w:rsidP="00385BEF">
      <w:pPr>
        <w:pStyle w:val="Bezproreda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Knjiga: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 w:rsidR="00F31145" w:rsidRPr="00F31145">
        <w:rPr>
          <w:rFonts w:asciiTheme="majorHAnsi" w:hAnsiTheme="majorHAnsi"/>
          <w:szCs w:val="24"/>
        </w:rPr>
        <w:t>48.921</w:t>
      </w:r>
      <w:r>
        <w:rPr>
          <w:rFonts w:asciiTheme="majorHAnsi" w:hAnsiTheme="majorHAnsi"/>
          <w:szCs w:val="24"/>
        </w:rPr>
        <w:t xml:space="preserve"> kn (AOP 031)</w:t>
      </w:r>
    </w:p>
    <w:p w:rsidR="00FE2984" w:rsidRDefault="00FE2984" w:rsidP="00385BEF">
      <w:pPr>
        <w:pStyle w:val="Bezproreda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Nematerijalna proizvedena imovina               18750 kn ( AOP 040)</w:t>
      </w:r>
    </w:p>
    <w:p w:rsidR="003059CC" w:rsidRPr="00B67B63" w:rsidRDefault="003059CC" w:rsidP="00385BEF">
      <w:pPr>
        <w:pStyle w:val="Bezproreda"/>
        <w:rPr>
          <w:rFonts w:asciiTheme="majorHAnsi" w:hAnsiTheme="majorHAnsi"/>
          <w:sz w:val="16"/>
          <w:szCs w:val="24"/>
        </w:rPr>
      </w:pPr>
    </w:p>
    <w:p w:rsidR="00F31145" w:rsidRDefault="00F31145" w:rsidP="00385BEF">
      <w:pPr>
        <w:pStyle w:val="Bezproreda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Pozicija </w:t>
      </w:r>
      <w:r w:rsidR="00FE2984">
        <w:rPr>
          <w:rFonts w:asciiTheme="majorHAnsi" w:hAnsiTheme="majorHAnsi"/>
          <w:szCs w:val="24"/>
        </w:rPr>
        <w:t>AOP</w:t>
      </w:r>
      <w:r>
        <w:rPr>
          <w:rFonts w:asciiTheme="majorHAnsi" w:hAnsiTheme="majorHAnsi"/>
          <w:szCs w:val="24"/>
        </w:rPr>
        <w:t xml:space="preserve"> 021 povećala se usljed nabavke uređaja</w:t>
      </w:r>
      <w:r w:rsidR="00FE2984">
        <w:rPr>
          <w:rFonts w:asciiTheme="majorHAnsi" w:hAnsiTheme="majorHAnsi"/>
          <w:szCs w:val="24"/>
        </w:rPr>
        <w:t xml:space="preserve"> i opreme </w:t>
      </w:r>
      <w:r>
        <w:rPr>
          <w:rFonts w:asciiTheme="majorHAnsi" w:hAnsiTheme="majorHAnsi"/>
          <w:szCs w:val="24"/>
        </w:rPr>
        <w:t xml:space="preserve"> </w:t>
      </w:r>
      <w:r w:rsidR="00FE2984">
        <w:rPr>
          <w:rFonts w:asciiTheme="majorHAnsi" w:hAnsiTheme="majorHAnsi"/>
          <w:szCs w:val="24"/>
        </w:rPr>
        <w:t>za potrebe poslovanja ( perilica, računala, projektori,</w:t>
      </w:r>
      <w:r>
        <w:rPr>
          <w:rFonts w:asciiTheme="majorHAnsi" w:hAnsiTheme="majorHAnsi"/>
          <w:szCs w:val="24"/>
        </w:rPr>
        <w:t>, dok je pozicija aop 031 povećana zbog nabavke udžbenika za školsku godinu  202</w:t>
      </w:r>
      <w:r w:rsidR="00FE2984">
        <w:rPr>
          <w:rFonts w:asciiTheme="majorHAnsi" w:hAnsiTheme="majorHAnsi"/>
          <w:szCs w:val="24"/>
        </w:rPr>
        <w:t>1/22</w:t>
      </w:r>
    </w:p>
    <w:p w:rsidR="00385BEF" w:rsidRDefault="00385BEF" w:rsidP="00385BEF">
      <w:pPr>
        <w:pStyle w:val="Bezproreda"/>
        <w:rPr>
          <w:rFonts w:asciiTheme="majorHAnsi" w:hAnsiTheme="majorHAnsi"/>
          <w:szCs w:val="24"/>
        </w:rPr>
      </w:pPr>
    </w:p>
    <w:p w:rsidR="00385BEF" w:rsidRPr="00B67B63" w:rsidRDefault="00385BEF" w:rsidP="00385BEF">
      <w:pPr>
        <w:pStyle w:val="Bezproreda"/>
        <w:rPr>
          <w:rFonts w:asciiTheme="majorHAnsi" w:hAnsiTheme="majorHAnsi"/>
          <w:sz w:val="16"/>
          <w:szCs w:val="24"/>
        </w:rPr>
      </w:pPr>
    </w:p>
    <w:p w:rsidR="00385BEF" w:rsidRPr="00194FB5" w:rsidRDefault="00385BEF" w:rsidP="00385BEF">
      <w:pPr>
        <w:pStyle w:val="Bezproreda"/>
        <w:rPr>
          <w:rFonts w:asciiTheme="majorHAnsi" w:hAnsiTheme="majorHAnsi"/>
          <w:b/>
          <w:szCs w:val="24"/>
        </w:rPr>
      </w:pPr>
      <w:r w:rsidRPr="00194FB5">
        <w:rPr>
          <w:rFonts w:asciiTheme="majorHAnsi" w:hAnsiTheme="majorHAnsi"/>
          <w:b/>
          <w:szCs w:val="24"/>
        </w:rPr>
        <w:t>AOP 063 – Financijska imovina</w:t>
      </w:r>
    </w:p>
    <w:p w:rsidR="00385BEF" w:rsidRDefault="00385BEF" w:rsidP="003059CC">
      <w:pPr>
        <w:pStyle w:val="Bezproreda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Indeks financijske imovine u odnosu na kraj prošle godine je </w:t>
      </w:r>
      <w:r w:rsidR="00631D85">
        <w:rPr>
          <w:rFonts w:asciiTheme="majorHAnsi" w:hAnsiTheme="majorHAnsi"/>
          <w:szCs w:val="24"/>
        </w:rPr>
        <w:t>96,</w:t>
      </w:r>
      <w:r w:rsidR="00FE2984">
        <w:rPr>
          <w:rFonts w:asciiTheme="majorHAnsi" w:hAnsiTheme="majorHAnsi"/>
          <w:szCs w:val="24"/>
        </w:rPr>
        <w:t>4</w:t>
      </w:r>
      <w:r>
        <w:rPr>
          <w:rFonts w:asciiTheme="majorHAnsi" w:hAnsiTheme="majorHAnsi"/>
          <w:szCs w:val="24"/>
        </w:rPr>
        <w:t>.</w:t>
      </w:r>
    </w:p>
    <w:p w:rsidR="00385BEF" w:rsidRDefault="00385BEF" w:rsidP="003059CC">
      <w:pPr>
        <w:pStyle w:val="Bezproreda"/>
        <w:jc w:val="both"/>
        <w:rPr>
          <w:rFonts w:asciiTheme="majorHAnsi" w:hAnsiTheme="majorHAnsi"/>
          <w:szCs w:val="24"/>
        </w:rPr>
      </w:pPr>
      <w:r w:rsidRPr="00194FB5">
        <w:rPr>
          <w:rFonts w:asciiTheme="majorHAnsi" w:hAnsiTheme="majorHAnsi"/>
          <w:szCs w:val="24"/>
        </w:rPr>
        <w:t>*</w:t>
      </w:r>
      <w:r>
        <w:rPr>
          <w:rFonts w:asciiTheme="majorHAnsi" w:hAnsiTheme="majorHAnsi"/>
          <w:szCs w:val="24"/>
        </w:rPr>
        <w:t xml:space="preserve"> novac na računu kod poslovnih banaka</w:t>
      </w:r>
      <w:r w:rsidR="003059CC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 xml:space="preserve">(AOP 066) je za </w:t>
      </w:r>
      <w:r w:rsidR="00FE2984">
        <w:rPr>
          <w:rFonts w:asciiTheme="majorHAnsi" w:hAnsiTheme="majorHAnsi"/>
          <w:szCs w:val="24"/>
        </w:rPr>
        <w:t>37.414</w:t>
      </w:r>
      <w:r>
        <w:rPr>
          <w:rFonts w:asciiTheme="majorHAnsi" w:hAnsiTheme="majorHAnsi"/>
          <w:szCs w:val="24"/>
        </w:rPr>
        <w:t xml:space="preserve"> (indeks </w:t>
      </w:r>
      <w:r w:rsidR="00FE2984">
        <w:rPr>
          <w:rFonts w:asciiTheme="majorHAnsi" w:hAnsiTheme="majorHAnsi"/>
          <w:szCs w:val="24"/>
        </w:rPr>
        <w:t>65,3</w:t>
      </w:r>
      <w:r>
        <w:rPr>
          <w:rFonts w:asciiTheme="majorHAnsi" w:hAnsiTheme="majorHAnsi"/>
          <w:szCs w:val="24"/>
        </w:rPr>
        <w:t xml:space="preserve">) </w:t>
      </w:r>
      <w:r w:rsidR="00FE2984">
        <w:rPr>
          <w:rFonts w:asciiTheme="majorHAnsi" w:hAnsiTheme="majorHAnsi"/>
          <w:szCs w:val="24"/>
        </w:rPr>
        <w:t xml:space="preserve">smanjenje </w:t>
      </w:r>
      <w:r w:rsidR="00631D85">
        <w:rPr>
          <w:rFonts w:asciiTheme="majorHAnsi" w:hAnsiTheme="majorHAnsi"/>
          <w:szCs w:val="24"/>
        </w:rPr>
        <w:t xml:space="preserve"> indeksa na aop 066 rezultat je </w:t>
      </w:r>
      <w:r w:rsidR="00FE2984">
        <w:rPr>
          <w:rFonts w:asciiTheme="majorHAnsi" w:hAnsiTheme="majorHAnsi"/>
          <w:szCs w:val="24"/>
        </w:rPr>
        <w:t xml:space="preserve">plaćenih obaveza </w:t>
      </w:r>
      <w:r w:rsidR="00631D85">
        <w:rPr>
          <w:rFonts w:asciiTheme="majorHAnsi" w:hAnsiTheme="majorHAnsi"/>
          <w:szCs w:val="24"/>
        </w:rPr>
        <w:t>.</w:t>
      </w:r>
    </w:p>
    <w:p w:rsidR="00B67B63" w:rsidRPr="00B67B63" w:rsidRDefault="00B67B63" w:rsidP="00385BEF">
      <w:pPr>
        <w:pStyle w:val="Bezproreda"/>
        <w:rPr>
          <w:rFonts w:asciiTheme="majorHAnsi" w:hAnsiTheme="majorHAnsi"/>
          <w:sz w:val="16"/>
          <w:szCs w:val="24"/>
        </w:rPr>
      </w:pPr>
    </w:p>
    <w:p w:rsidR="00385BEF" w:rsidRDefault="00E602D9" w:rsidP="00385BEF">
      <w:pPr>
        <w:pStyle w:val="Bezproreda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U 2021</w:t>
      </w:r>
      <w:r w:rsidR="00385BEF">
        <w:rPr>
          <w:rFonts w:asciiTheme="majorHAnsi" w:hAnsiTheme="majorHAnsi"/>
          <w:szCs w:val="24"/>
        </w:rPr>
        <w:t>. godini škola, nije zaprimila donacija u naravi, nego uglavnom novčana sredstva prema zahtjevima osnivaču i Općini Vrbanja, za nabavu opreme ili ulaganja u objekt.</w:t>
      </w:r>
    </w:p>
    <w:p w:rsidR="008E5048" w:rsidRDefault="008E5048" w:rsidP="00385BEF">
      <w:pPr>
        <w:pStyle w:val="Bezproreda"/>
        <w:rPr>
          <w:rFonts w:asciiTheme="majorHAnsi" w:hAnsiTheme="majorHAnsi"/>
          <w:szCs w:val="24"/>
        </w:rPr>
      </w:pPr>
    </w:p>
    <w:p w:rsidR="00385BEF" w:rsidRDefault="00385BEF" w:rsidP="00385BEF">
      <w:pPr>
        <w:pStyle w:val="Bezproreda"/>
        <w:rPr>
          <w:rFonts w:asciiTheme="majorHAnsi" w:hAnsiTheme="majorHAnsi"/>
          <w:szCs w:val="24"/>
        </w:rPr>
      </w:pPr>
    </w:p>
    <w:p w:rsidR="00385BEF" w:rsidRDefault="00385BEF" w:rsidP="00F95BB0">
      <w:pPr>
        <w:pStyle w:val="Bezproreda"/>
        <w:shd w:val="clear" w:color="auto" w:fill="000000" w:themeFill="text1"/>
        <w:rPr>
          <w:rFonts w:asciiTheme="majorHAnsi" w:hAnsiTheme="majorHAnsi"/>
          <w:b/>
          <w:szCs w:val="24"/>
        </w:rPr>
      </w:pPr>
      <w:r w:rsidRPr="0066692C">
        <w:rPr>
          <w:rFonts w:asciiTheme="majorHAnsi" w:hAnsiTheme="majorHAnsi"/>
          <w:b/>
          <w:szCs w:val="24"/>
        </w:rPr>
        <w:t>Bilješke uz Izvještaj o prihodima i rashodima, primicima i izdacima – Obrazac PR-RAS</w:t>
      </w:r>
    </w:p>
    <w:p w:rsidR="00F95BB0" w:rsidRPr="008E5048" w:rsidRDefault="00F95BB0" w:rsidP="00385BEF">
      <w:pPr>
        <w:pStyle w:val="Bezproreda"/>
        <w:rPr>
          <w:rFonts w:asciiTheme="majorHAnsi" w:hAnsiTheme="majorHAnsi"/>
          <w:b/>
          <w:sz w:val="16"/>
          <w:szCs w:val="24"/>
        </w:rPr>
      </w:pPr>
    </w:p>
    <w:p w:rsidR="00F95BB0" w:rsidRPr="00F95BB0" w:rsidRDefault="00F95BB0" w:rsidP="00F95BB0">
      <w:pPr>
        <w:pStyle w:val="Bezproreda"/>
        <w:rPr>
          <w:rFonts w:asciiTheme="majorHAnsi" w:hAnsiTheme="majorHAnsi"/>
          <w:b/>
          <w:szCs w:val="24"/>
        </w:rPr>
      </w:pPr>
      <w:r w:rsidRPr="00F95BB0">
        <w:rPr>
          <w:rFonts w:asciiTheme="majorHAnsi" w:hAnsiTheme="majorHAnsi"/>
          <w:b/>
          <w:szCs w:val="24"/>
        </w:rPr>
        <w:t>PRIHODI</w:t>
      </w:r>
    </w:p>
    <w:p w:rsidR="00F95BB0" w:rsidRDefault="00F95BB0" w:rsidP="00892C78">
      <w:pPr>
        <w:pStyle w:val="Bezproreda"/>
        <w:jc w:val="both"/>
        <w:rPr>
          <w:rFonts w:asciiTheme="majorHAnsi" w:hAnsiTheme="majorHAnsi"/>
          <w:szCs w:val="24"/>
        </w:rPr>
      </w:pPr>
      <w:r w:rsidRPr="00F95BB0">
        <w:rPr>
          <w:rFonts w:asciiTheme="majorHAnsi" w:hAnsiTheme="majorHAnsi"/>
          <w:b/>
          <w:szCs w:val="24"/>
        </w:rPr>
        <w:t xml:space="preserve">AOP 001 </w:t>
      </w:r>
      <w:r w:rsidRPr="00F95BB0">
        <w:rPr>
          <w:rFonts w:asciiTheme="majorHAnsi" w:hAnsiTheme="majorHAnsi"/>
          <w:szCs w:val="24"/>
        </w:rPr>
        <w:t xml:space="preserve">U izvještajnom razdoblju ukupno je ostvareno </w:t>
      </w:r>
      <w:r w:rsidR="001D66EE">
        <w:rPr>
          <w:rFonts w:asciiTheme="majorHAnsi" w:hAnsiTheme="majorHAnsi"/>
          <w:szCs w:val="24"/>
        </w:rPr>
        <w:t>4.064.582</w:t>
      </w:r>
      <w:r>
        <w:rPr>
          <w:rFonts w:asciiTheme="majorHAnsi" w:hAnsiTheme="majorHAnsi"/>
          <w:szCs w:val="24"/>
        </w:rPr>
        <w:t xml:space="preserve"> k</w:t>
      </w:r>
      <w:r w:rsidRPr="00F95BB0">
        <w:rPr>
          <w:rFonts w:asciiTheme="majorHAnsi" w:hAnsiTheme="majorHAnsi"/>
          <w:szCs w:val="24"/>
        </w:rPr>
        <w:t xml:space="preserve">n prihoda </w:t>
      </w:r>
      <w:r w:rsidR="001D66EE">
        <w:rPr>
          <w:rFonts w:asciiTheme="majorHAnsi" w:hAnsiTheme="majorHAnsi"/>
          <w:szCs w:val="24"/>
        </w:rPr>
        <w:t>(klasa 6) što je u odnosu na 2020</w:t>
      </w:r>
      <w:r w:rsidRPr="00F95BB0">
        <w:rPr>
          <w:rFonts w:asciiTheme="majorHAnsi" w:hAnsiTheme="majorHAnsi"/>
          <w:szCs w:val="24"/>
        </w:rPr>
        <w:t xml:space="preserve">. godinu povećanje od </w:t>
      </w:r>
      <w:r w:rsidR="001D66EE">
        <w:rPr>
          <w:rFonts w:asciiTheme="majorHAnsi" w:hAnsiTheme="majorHAnsi"/>
          <w:szCs w:val="24"/>
        </w:rPr>
        <w:t>13,3</w:t>
      </w:r>
      <w:r w:rsidRPr="00F95BB0">
        <w:rPr>
          <w:rFonts w:asciiTheme="majorHAnsi" w:hAnsiTheme="majorHAnsi"/>
          <w:szCs w:val="24"/>
        </w:rPr>
        <w:t>%.</w:t>
      </w:r>
      <w:r w:rsidR="00892C78">
        <w:rPr>
          <w:rFonts w:asciiTheme="majorHAnsi" w:hAnsiTheme="majorHAnsi"/>
          <w:szCs w:val="24"/>
        </w:rPr>
        <w:t xml:space="preserve"> Do povećanja prihoda došlo je uglavnom zbog povećanja prihoda za plaću i naknada zaposlenima, te zbog kapitalnih prihoda od strane</w:t>
      </w:r>
      <w:r w:rsidR="009E5E87">
        <w:rPr>
          <w:rFonts w:asciiTheme="majorHAnsi" w:hAnsiTheme="majorHAnsi"/>
          <w:szCs w:val="24"/>
        </w:rPr>
        <w:t xml:space="preserve"> osnivača, MZO i Općine Vrbanja.</w:t>
      </w:r>
    </w:p>
    <w:p w:rsidR="001D66EE" w:rsidRDefault="001D66EE" w:rsidP="00892C78">
      <w:pPr>
        <w:pStyle w:val="Bezproreda"/>
        <w:jc w:val="both"/>
        <w:rPr>
          <w:rFonts w:asciiTheme="majorHAnsi" w:hAnsiTheme="majorHAnsi"/>
          <w:szCs w:val="24"/>
        </w:rPr>
      </w:pPr>
      <w:r w:rsidRPr="00795CB9">
        <w:rPr>
          <w:rFonts w:asciiTheme="majorHAnsi" w:hAnsiTheme="majorHAnsi"/>
          <w:b/>
          <w:szCs w:val="24"/>
        </w:rPr>
        <w:t>AOP 063</w:t>
      </w:r>
      <w:r>
        <w:rPr>
          <w:rFonts w:asciiTheme="majorHAnsi" w:hAnsiTheme="majorHAnsi"/>
          <w:szCs w:val="24"/>
        </w:rPr>
        <w:t xml:space="preserve"> povećanje od 14,4% odnosi se na povećanje plaća</w:t>
      </w:r>
      <w:r w:rsidR="00795CB9">
        <w:rPr>
          <w:rFonts w:asciiTheme="majorHAnsi" w:hAnsiTheme="majorHAnsi"/>
          <w:szCs w:val="24"/>
        </w:rPr>
        <w:t xml:space="preserve"> i povećanje prihoda temeljem prijenosa sredstava za sufinaciranje kuhinje od strane općine Vrbanja koja je u 2021 počela financirati dio namirnica za rad školske kuhinje.</w:t>
      </w:r>
    </w:p>
    <w:p w:rsidR="00795CB9" w:rsidRDefault="00795CB9" w:rsidP="00892C78">
      <w:pPr>
        <w:pStyle w:val="Bezproreda"/>
        <w:jc w:val="both"/>
        <w:rPr>
          <w:rFonts w:asciiTheme="majorHAnsi" w:hAnsiTheme="majorHAnsi"/>
          <w:szCs w:val="24"/>
        </w:rPr>
      </w:pPr>
      <w:r w:rsidRPr="00795CB9">
        <w:rPr>
          <w:rFonts w:asciiTheme="majorHAnsi" w:hAnsiTheme="majorHAnsi"/>
          <w:b/>
          <w:szCs w:val="24"/>
        </w:rPr>
        <w:t>AOP 101</w:t>
      </w:r>
      <w:r>
        <w:rPr>
          <w:rFonts w:asciiTheme="majorHAnsi" w:hAnsiTheme="majorHAnsi"/>
          <w:szCs w:val="24"/>
        </w:rPr>
        <w:t xml:space="preserve"> smanjenje prihoda sa osnove sufinanciranja kuhinje od strane roditelja. U 2021 roditelji ne plaćaju kuhinju za djecu.</w:t>
      </w:r>
    </w:p>
    <w:p w:rsidR="00795CB9" w:rsidRDefault="00795CB9" w:rsidP="00892C78">
      <w:pPr>
        <w:pStyle w:val="Bezproreda"/>
        <w:jc w:val="both"/>
        <w:rPr>
          <w:rFonts w:asciiTheme="majorHAnsi" w:hAnsiTheme="majorHAnsi"/>
          <w:szCs w:val="24"/>
        </w:rPr>
      </w:pPr>
      <w:r w:rsidRPr="00795CB9">
        <w:rPr>
          <w:rFonts w:asciiTheme="majorHAnsi" w:hAnsiTheme="majorHAnsi"/>
          <w:b/>
          <w:szCs w:val="24"/>
        </w:rPr>
        <w:t>AOP 119</w:t>
      </w:r>
      <w:r>
        <w:rPr>
          <w:rFonts w:asciiTheme="majorHAnsi" w:hAnsiTheme="majorHAnsi"/>
          <w:szCs w:val="24"/>
        </w:rPr>
        <w:t xml:space="preserve"> povećanje prihoda sa osnove donacija. Sudjelovanje u projektu HEP-a </w:t>
      </w:r>
    </w:p>
    <w:p w:rsidR="00795CB9" w:rsidRDefault="00795CB9" w:rsidP="00892C78">
      <w:pPr>
        <w:pStyle w:val="Bezproreda"/>
        <w:jc w:val="both"/>
        <w:rPr>
          <w:rFonts w:asciiTheme="majorHAnsi" w:hAnsiTheme="majorHAnsi"/>
          <w:szCs w:val="24"/>
        </w:rPr>
      </w:pPr>
      <w:r w:rsidRPr="00795CB9">
        <w:rPr>
          <w:rFonts w:asciiTheme="majorHAnsi" w:hAnsiTheme="majorHAnsi"/>
          <w:b/>
          <w:szCs w:val="24"/>
        </w:rPr>
        <w:t>AOP 128</w:t>
      </w:r>
      <w:r>
        <w:rPr>
          <w:rFonts w:asciiTheme="majorHAnsi" w:hAnsiTheme="majorHAnsi"/>
          <w:szCs w:val="24"/>
        </w:rPr>
        <w:t xml:space="preserve"> bilježi povećanje prihoda od 25,9%, osnova je povećano finaciranje nematerijalne imovine, materijalnih rashoda (dezentraliziranih) i povećani troškovi energenata i prijevoza učenika.</w:t>
      </w:r>
    </w:p>
    <w:p w:rsidR="00F95BB0" w:rsidRPr="00F95BB0" w:rsidRDefault="00F95BB0" w:rsidP="00F95BB0">
      <w:pPr>
        <w:pStyle w:val="Bezproreda"/>
        <w:rPr>
          <w:rFonts w:asciiTheme="majorHAnsi" w:hAnsiTheme="majorHAnsi"/>
          <w:sz w:val="16"/>
          <w:szCs w:val="24"/>
        </w:rPr>
      </w:pPr>
    </w:p>
    <w:p w:rsidR="00F95BB0" w:rsidRPr="00F95BB0" w:rsidRDefault="00F95BB0" w:rsidP="00F95BB0">
      <w:pPr>
        <w:pStyle w:val="Bezproreda"/>
        <w:rPr>
          <w:rFonts w:asciiTheme="majorHAnsi" w:hAnsiTheme="majorHAnsi"/>
          <w:b/>
          <w:szCs w:val="24"/>
        </w:rPr>
      </w:pPr>
      <w:r w:rsidRPr="00F95BB0">
        <w:rPr>
          <w:rFonts w:asciiTheme="majorHAnsi" w:hAnsiTheme="majorHAnsi"/>
          <w:b/>
          <w:szCs w:val="24"/>
        </w:rPr>
        <w:t>RASHODI</w:t>
      </w:r>
    </w:p>
    <w:p w:rsidR="00F95BB0" w:rsidRDefault="00F95BB0" w:rsidP="00F95BB0">
      <w:pPr>
        <w:pStyle w:val="Bezproreda"/>
        <w:rPr>
          <w:rFonts w:asciiTheme="majorHAnsi" w:hAnsiTheme="majorHAnsi"/>
          <w:szCs w:val="24"/>
        </w:rPr>
      </w:pPr>
      <w:r w:rsidRPr="00F95BB0">
        <w:rPr>
          <w:rFonts w:asciiTheme="majorHAnsi" w:hAnsiTheme="majorHAnsi"/>
          <w:b/>
          <w:szCs w:val="24"/>
        </w:rPr>
        <w:t xml:space="preserve">AOP 148 </w:t>
      </w:r>
      <w:r w:rsidRPr="00F95BB0">
        <w:rPr>
          <w:rFonts w:asciiTheme="majorHAnsi" w:hAnsiTheme="majorHAnsi"/>
          <w:szCs w:val="24"/>
        </w:rPr>
        <w:t xml:space="preserve">U izvještajnom razdoblju ukupno je ostvareno </w:t>
      </w:r>
      <w:r w:rsidR="00795CB9">
        <w:rPr>
          <w:rFonts w:asciiTheme="majorHAnsi" w:hAnsiTheme="majorHAnsi"/>
          <w:szCs w:val="24"/>
        </w:rPr>
        <w:t>3.992.376</w:t>
      </w:r>
      <w:r w:rsidRPr="00F95BB0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k</w:t>
      </w:r>
      <w:r w:rsidRPr="00F95BB0">
        <w:rPr>
          <w:rFonts w:asciiTheme="majorHAnsi" w:hAnsiTheme="majorHAnsi"/>
          <w:szCs w:val="24"/>
        </w:rPr>
        <w:t>n rashoda (klasa 3)</w:t>
      </w:r>
      <w:r w:rsidR="00795CB9">
        <w:rPr>
          <w:rFonts w:asciiTheme="majorHAnsi" w:hAnsiTheme="majorHAnsi"/>
          <w:szCs w:val="24"/>
        </w:rPr>
        <w:t xml:space="preserve"> što je u odnosu na 2020</w:t>
      </w:r>
      <w:r w:rsidRPr="00F95BB0">
        <w:rPr>
          <w:rFonts w:asciiTheme="majorHAnsi" w:hAnsiTheme="majorHAnsi"/>
          <w:szCs w:val="24"/>
        </w:rPr>
        <w:t xml:space="preserve">. godinu povećanje od </w:t>
      </w:r>
      <w:r w:rsidR="00795CB9">
        <w:rPr>
          <w:rFonts w:asciiTheme="majorHAnsi" w:hAnsiTheme="majorHAnsi"/>
          <w:szCs w:val="24"/>
        </w:rPr>
        <w:t>14,3%</w:t>
      </w:r>
      <w:r w:rsidRPr="00F95BB0">
        <w:rPr>
          <w:rFonts w:asciiTheme="majorHAnsi" w:hAnsiTheme="majorHAnsi"/>
          <w:szCs w:val="24"/>
        </w:rPr>
        <w:t>.</w:t>
      </w:r>
    </w:p>
    <w:p w:rsidR="006E51EB" w:rsidRPr="006E51EB" w:rsidRDefault="006E51EB" w:rsidP="00F95BB0">
      <w:pPr>
        <w:pStyle w:val="Bezproreda"/>
        <w:rPr>
          <w:rFonts w:asciiTheme="majorHAnsi" w:hAnsiTheme="majorHAnsi"/>
          <w:sz w:val="16"/>
          <w:szCs w:val="24"/>
        </w:rPr>
      </w:pPr>
    </w:p>
    <w:p w:rsidR="00F95BB0" w:rsidRDefault="00795CB9" w:rsidP="00892C78">
      <w:pPr>
        <w:pStyle w:val="Bezproreda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Cs w:val="24"/>
        </w:rPr>
        <w:t>AOP 344</w:t>
      </w:r>
      <w:r w:rsidR="00F95BB0">
        <w:rPr>
          <w:rFonts w:asciiTheme="majorHAnsi" w:hAnsiTheme="majorHAnsi"/>
          <w:b/>
          <w:szCs w:val="24"/>
        </w:rPr>
        <w:t xml:space="preserve"> </w:t>
      </w:r>
      <w:r w:rsidR="00F95BB0" w:rsidRPr="00F95BB0">
        <w:rPr>
          <w:rFonts w:asciiTheme="majorHAnsi" w:hAnsiTheme="majorHAnsi"/>
          <w:szCs w:val="24"/>
        </w:rPr>
        <w:t xml:space="preserve">U izvještajnom razdoblju ukupno je ostvareno </w:t>
      </w:r>
      <w:r>
        <w:rPr>
          <w:rFonts w:asciiTheme="majorHAnsi" w:hAnsiTheme="majorHAnsi"/>
          <w:szCs w:val="24"/>
        </w:rPr>
        <w:t>103.296</w:t>
      </w:r>
      <w:r w:rsidR="00F95BB0" w:rsidRPr="00F95BB0">
        <w:rPr>
          <w:rFonts w:asciiTheme="majorHAnsi" w:hAnsiTheme="majorHAnsi"/>
          <w:szCs w:val="24"/>
        </w:rPr>
        <w:t xml:space="preserve"> kn rashoda za nabavu nefinancijske imovine</w:t>
      </w:r>
      <w:r w:rsidR="00F95BB0">
        <w:rPr>
          <w:rFonts w:asciiTheme="majorHAnsi" w:hAnsiTheme="majorHAnsi"/>
          <w:szCs w:val="24"/>
        </w:rPr>
        <w:t xml:space="preserve"> (klasa 4)</w:t>
      </w:r>
      <w:r w:rsidR="00F95BB0" w:rsidRPr="00F95BB0">
        <w:rPr>
          <w:rFonts w:asciiTheme="majorHAnsi" w:hAnsiTheme="majorHAnsi"/>
          <w:szCs w:val="24"/>
        </w:rPr>
        <w:t xml:space="preserve">, što je za </w:t>
      </w:r>
      <w:r>
        <w:rPr>
          <w:rFonts w:asciiTheme="majorHAnsi" w:hAnsiTheme="majorHAnsi"/>
          <w:szCs w:val="24"/>
        </w:rPr>
        <w:t>54,1% više u odnosu na 2020</w:t>
      </w:r>
      <w:r w:rsidR="00F95BB0" w:rsidRPr="00F95BB0">
        <w:rPr>
          <w:rFonts w:asciiTheme="majorHAnsi" w:hAnsiTheme="majorHAnsi"/>
          <w:szCs w:val="24"/>
        </w:rPr>
        <w:t>. godinu</w:t>
      </w:r>
      <w:r w:rsidR="00892C78">
        <w:rPr>
          <w:rFonts w:asciiTheme="majorHAnsi" w:hAnsiTheme="majorHAnsi"/>
          <w:szCs w:val="24"/>
        </w:rPr>
        <w:t xml:space="preserve"> (nabava </w:t>
      </w:r>
      <w:r w:rsidR="006E661E">
        <w:rPr>
          <w:rFonts w:asciiTheme="majorHAnsi" w:hAnsiTheme="majorHAnsi"/>
          <w:szCs w:val="24"/>
        </w:rPr>
        <w:t xml:space="preserve">opreme i udžbenika </w:t>
      </w:r>
      <w:r w:rsidR="009E5E87">
        <w:rPr>
          <w:rFonts w:asciiTheme="majorHAnsi" w:hAnsiTheme="majorHAnsi"/>
          <w:szCs w:val="24"/>
        </w:rPr>
        <w:t xml:space="preserve"> te ulaganja u objekt</w:t>
      </w:r>
      <w:r w:rsidR="00892C78">
        <w:rPr>
          <w:rFonts w:asciiTheme="majorHAnsi" w:hAnsiTheme="majorHAnsi"/>
          <w:szCs w:val="24"/>
        </w:rPr>
        <w:t>)</w:t>
      </w:r>
    </w:p>
    <w:p w:rsidR="006E51EB" w:rsidRPr="006E51EB" w:rsidRDefault="006E51EB" w:rsidP="00F95BB0">
      <w:pPr>
        <w:pStyle w:val="Bezproreda"/>
        <w:rPr>
          <w:rFonts w:asciiTheme="majorHAnsi" w:hAnsiTheme="majorHAnsi"/>
          <w:b/>
          <w:sz w:val="16"/>
          <w:szCs w:val="24"/>
        </w:rPr>
      </w:pPr>
    </w:p>
    <w:p w:rsidR="006E51EB" w:rsidRDefault="006E51EB" w:rsidP="006E51EB">
      <w:pPr>
        <w:pStyle w:val="Bezproreda"/>
        <w:jc w:val="both"/>
        <w:rPr>
          <w:rFonts w:asciiTheme="majorHAnsi" w:hAnsiTheme="majorHAnsi"/>
          <w:szCs w:val="24"/>
        </w:rPr>
      </w:pPr>
      <w:r w:rsidRPr="006E51EB">
        <w:rPr>
          <w:rFonts w:asciiTheme="majorHAnsi" w:hAnsiTheme="majorHAnsi"/>
          <w:b/>
          <w:szCs w:val="24"/>
        </w:rPr>
        <w:t>AOP 1</w:t>
      </w:r>
      <w:r w:rsidR="004862E5">
        <w:rPr>
          <w:rFonts w:asciiTheme="majorHAnsi" w:hAnsiTheme="majorHAnsi"/>
          <w:b/>
          <w:szCs w:val="24"/>
        </w:rPr>
        <w:t xml:space="preserve">47 </w:t>
      </w:r>
      <w:r w:rsidRPr="006E51EB">
        <w:rPr>
          <w:rFonts w:asciiTheme="majorHAnsi" w:hAnsiTheme="majorHAnsi"/>
          <w:szCs w:val="24"/>
        </w:rPr>
        <w:t xml:space="preserve"> Od ukupnih rashoda</w:t>
      </w:r>
      <w:r>
        <w:rPr>
          <w:rFonts w:asciiTheme="majorHAnsi" w:hAnsiTheme="majorHAnsi"/>
          <w:szCs w:val="24"/>
        </w:rPr>
        <w:t xml:space="preserve"> poslovanja (AOP 148</w:t>
      </w:r>
      <w:r w:rsidR="004862E5">
        <w:rPr>
          <w:rFonts w:asciiTheme="majorHAnsi" w:hAnsiTheme="majorHAnsi"/>
          <w:szCs w:val="24"/>
        </w:rPr>
        <w:t>) 3.164.019</w:t>
      </w:r>
      <w:r w:rsidR="009E5E87">
        <w:rPr>
          <w:rFonts w:asciiTheme="majorHAnsi" w:hAnsiTheme="majorHAnsi"/>
          <w:szCs w:val="24"/>
        </w:rPr>
        <w:t xml:space="preserve"> kn</w:t>
      </w:r>
      <w:r w:rsidRPr="006E51EB">
        <w:rPr>
          <w:rFonts w:asciiTheme="majorHAnsi" w:hAnsiTheme="majorHAnsi"/>
          <w:szCs w:val="24"/>
        </w:rPr>
        <w:t xml:space="preserve"> se odnosi na rashode za zaposlene što je </w:t>
      </w:r>
      <w:r w:rsidR="004862E5">
        <w:rPr>
          <w:rFonts w:asciiTheme="majorHAnsi" w:hAnsiTheme="majorHAnsi"/>
          <w:szCs w:val="24"/>
        </w:rPr>
        <w:t>10,6% više nego 2020</w:t>
      </w:r>
      <w:r w:rsidRPr="006E51EB">
        <w:rPr>
          <w:rFonts w:asciiTheme="majorHAnsi" w:hAnsiTheme="majorHAnsi"/>
          <w:szCs w:val="24"/>
        </w:rPr>
        <w:t>. godine. Razlog tome su povećanja osnovica za obračun plaća u javnom sektoru</w:t>
      </w:r>
      <w:r w:rsidR="006E661E">
        <w:rPr>
          <w:rFonts w:asciiTheme="majorHAnsi" w:hAnsiTheme="majorHAnsi"/>
          <w:szCs w:val="24"/>
        </w:rPr>
        <w:t xml:space="preserve"> i povećanje koeficijenata složenosti posla</w:t>
      </w:r>
      <w:r w:rsidRPr="006E51EB">
        <w:rPr>
          <w:rFonts w:asciiTheme="majorHAnsi" w:hAnsiTheme="majorHAnsi"/>
          <w:szCs w:val="24"/>
        </w:rPr>
        <w:t>, kao i povećanje obima financiranja JLS za programe iznad zakonskog standarda.</w:t>
      </w:r>
    </w:p>
    <w:p w:rsidR="006E51EB" w:rsidRPr="006E51EB" w:rsidRDefault="006E51EB" w:rsidP="006E51EB">
      <w:pPr>
        <w:pStyle w:val="Bezproreda"/>
        <w:jc w:val="both"/>
        <w:rPr>
          <w:rFonts w:asciiTheme="majorHAnsi" w:hAnsiTheme="majorHAnsi"/>
          <w:sz w:val="16"/>
          <w:szCs w:val="24"/>
        </w:rPr>
      </w:pPr>
    </w:p>
    <w:p w:rsidR="009E5E87" w:rsidRDefault="004862E5" w:rsidP="006E51EB">
      <w:pPr>
        <w:pStyle w:val="Bezproreda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Cs w:val="24"/>
        </w:rPr>
        <w:t>AOP 158</w:t>
      </w:r>
      <w:r w:rsidR="006E51EB" w:rsidRPr="006E51EB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 xml:space="preserve"> </w:t>
      </w:r>
      <w:r w:rsidR="006E51EB" w:rsidRPr="006E51EB">
        <w:rPr>
          <w:rFonts w:asciiTheme="majorHAnsi" w:hAnsiTheme="majorHAnsi"/>
          <w:szCs w:val="24"/>
        </w:rPr>
        <w:t>od materijalnih rashoda</w:t>
      </w:r>
      <w:r w:rsidR="006E661E">
        <w:rPr>
          <w:rFonts w:asciiTheme="majorHAnsi" w:hAnsiTheme="majorHAnsi"/>
          <w:szCs w:val="24"/>
        </w:rPr>
        <w:t xml:space="preserve"> skupine 32, </w:t>
      </w:r>
      <w:r>
        <w:rPr>
          <w:rFonts w:asciiTheme="majorHAnsi" w:hAnsiTheme="majorHAnsi"/>
          <w:szCs w:val="24"/>
        </w:rPr>
        <w:t>povećanje rashoda za 31,2%</w:t>
      </w:r>
      <w:r w:rsidR="006E661E">
        <w:rPr>
          <w:rFonts w:asciiTheme="majorHAnsi" w:hAnsiTheme="majorHAnsi"/>
          <w:szCs w:val="24"/>
        </w:rPr>
        <w:t xml:space="preserve">  veća odstupanj</w:t>
      </w:r>
      <w:r>
        <w:rPr>
          <w:rFonts w:asciiTheme="majorHAnsi" w:hAnsiTheme="majorHAnsi"/>
          <w:szCs w:val="24"/>
        </w:rPr>
        <w:t>a nalazimo na AOP pozicijama 160,161,</w:t>
      </w:r>
      <w:r w:rsidR="006E661E">
        <w:rPr>
          <w:rFonts w:asciiTheme="majorHAnsi" w:hAnsiTheme="majorHAnsi"/>
          <w:szCs w:val="24"/>
        </w:rPr>
        <w:t xml:space="preserve"> troškovi putovanja i prijevoza s posla i na posao </w:t>
      </w:r>
      <w:r>
        <w:rPr>
          <w:rFonts w:asciiTheme="majorHAnsi" w:hAnsiTheme="majorHAnsi"/>
          <w:szCs w:val="24"/>
        </w:rPr>
        <w:t>vraćaju se na razinu prije covid 19</w:t>
      </w:r>
      <w:r w:rsidR="006E661E">
        <w:rPr>
          <w:rFonts w:asciiTheme="majorHAnsi" w:hAnsiTheme="majorHAnsi"/>
          <w:szCs w:val="24"/>
        </w:rPr>
        <w:t xml:space="preserve"> krize</w:t>
      </w:r>
      <w:r w:rsidR="004D3A2E">
        <w:rPr>
          <w:rFonts w:asciiTheme="majorHAnsi" w:hAnsiTheme="majorHAnsi"/>
          <w:szCs w:val="24"/>
        </w:rPr>
        <w:t xml:space="preserve">, odstupanja na poziciji  aop 165,166 i 167 rezultat su povećane razine aktivnosti nakon Covid 19. Povećani rashodi na pozicijama 168 i 174 rezultat su održavanja škole i prireme za </w:t>
      </w:r>
      <w:r w:rsidR="00EE2C2F">
        <w:rPr>
          <w:rFonts w:asciiTheme="majorHAnsi" w:hAnsiTheme="majorHAnsi"/>
          <w:szCs w:val="24"/>
        </w:rPr>
        <w:t xml:space="preserve">postavljanje solarne elektrane </w:t>
      </w:r>
      <w:r w:rsidR="006E661E">
        <w:rPr>
          <w:rFonts w:asciiTheme="majorHAnsi" w:hAnsiTheme="majorHAnsi"/>
          <w:szCs w:val="24"/>
        </w:rPr>
        <w:t>.</w:t>
      </w:r>
      <w:r w:rsidR="004D3A2E">
        <w:rPr>
          <w:rFonts w:asciiTheme="majorHAnsi" w:hAnsiTheme="majorHAnsi"/>
          <w:szCs w:val="24"/>
        </w:rPr>
        <w:t xml:space="preserve"> Aop 178 povećanje zbog trošklova testiranja na covid 19</w:t>
      </w:r>
      <w:r w:rsidR="00EE2C2F">
        <w:rPr>
          <w:rFonts w:asciiTheme="majorHAnsi" w:hAnsiTheme="majorHAnsi"/>
          <w:szCs w:val="24"/>
        </w:rPr>
        <w:t xml:space="preserve"> u ustanovama.</w:t>
      </w:r>
    </w:p>
    <w:p w:rsidR="004D3A2E" w:rsidRDefault="004D3A2E" w:rsidP="006E51EB">
      <w:pPr>
        <w:pStyle w:val="Bezproreda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Aop 179 povećanje</w:t>
      </w:r>
      <w:r w:rsidR="00EE2C2F">
        <w:rPr>
          <w:rFonts w:asciiTheme="majorHAnsi" w:hAnsiTheme="majorHAnsi"/>
          <w:szCs w:val="24"/>
        </w:rPr>
        <w:t xml:space="preserve"> rashoda </w:t>
      </w:r>
      <w:r>
        <w:rPr>
          <w:rFonts w:asciiTheme="majorHAnsi" w:hAnsiTheme="majorHAnsi"/>
          <w:szCs w:val="24"/>
        </w:rPr>
        <w:t xml:space="preserve"> zbog sudjelovanja na projektu e škole i usluga e tehničara</w:t>
      </w:r>
      <w:r w:rsidR="00EE2C2F">
        <w:rPr>
          <w:rFonts w:asciiTheme="majorHAnsi" w:hAnsiTheme="majorHAnsi"/>
          <w:szCs w:val="24"/>
        </w:rPr>
        <w:t>.</w:t>
      </w:r>
    </w:p>
    <w:p w:rsidR="004D3A2E" w:rsidRDefault="004D3A2E" w:rsidP="006E51EB">
      <w:pPr>
        <w:pStyle w:val="Bezproreda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Aop 187 i 189 rashodi nastali usljed tužbi za ne povećanje osnovice u 2015 i 2016 godini na nacionalnom nivou.</w:t>
      </w:r>
    </w:p>
    <w:p w:rsidR="006E661E" w:rsidRDefault="006E661E" w:rsidP="006E51EB">
      <w:pPr>
        <w:pStyle w:val="Bezproreda"/>
        <w:jc w:val="both"/>
        <w:rPr>
          <w:rFonts w:asciiTheme="majorHAnsi" w:hAnsiTheme="majorHAnsi"/>
          <w:szCs w:val="24"/>
        </w:rPr>
      </w:pPr>
    </w:p>
    <w:p w:rsidR="00B47D72" w:rsidRPr="006E661E" w:rsidRDefault="00B47D72" w:rsidP="006E51EB">
      <w:pPr>
        <w:pStyle w:val="Bezproreda"/>
        <w:jc w:val="both"/>
        <w:rPr>
          <w:rFonts w:asciiTheme="majorHAnsi" w:hAnsiTheme="majorHAnsi"/>
          <w:sz w:val="16"/>
          <w:szCs w:val="24"/>
        </w:rPr>
      </w:pPr>
    </w:p>
    <w:p w:rsidR="00B55C0E" w:rsidRPr="006E51EB" w:rsidRDefault="00B55C0E" w:rsidP="006E51EB">
      <w:pPr>
        <w:pStyle w:val="Bezproreda"/>
        <w:jc w:val="both"/>
        <w:rPr>
          <w:rFonts w:asciiTheme="majorHAnsi" w:hAnsiTheme="majorHAnsi"/>
          <w:sz w:val="14"/>
          <w:szCs w:val="24"/>
        </w:rPr>
      </w:pPr>
    </w:p>
    <w:p w:rsidR="006E51EB" w:rsidRDefault="006E51EB" w:rsidP="006E51EB">
      <w:pPr>
        <w:pStyle w:val="Bezproreda"/>
        <w:jc w:val="both"/>
        <w:rPr>
          <w:rFonts w:asciiTheme="majorHAnsi" w:hAnsiTheme="majorHAnsi"/>
          <w:szCs w:val="24"/>
        </w:rPr>
      </w:pPr>
      <w:r w:rsidRPr="006E51EB">
        <w:rPr>
          <w:rFonts w:asciiTheme="majorHAnsi" w:hAnsiTheme="majorHAnsi"/>
          <w:b/>
          <w:szCs w:val="24"/>
        </w:rPr>
        <w:t>AOP 282</w:t>
      </w:r>
      <w:r w:rsidRPr="006E51EB">
        <w:rPr>
          <w:rFonts w:asciiTheme="majorHAnsi" w:hAnsiTheme="majorHAnsi"/>
          <w:szCs w:val="24"/>
        </w:rPr>
        <w:t xml:space="preserve"> Iz navedenih podataka proizlazi višak prihoda poslovanja u iznosu od </w:t>
      </w:r>
      <w:r w:rsidR="00EE2C2F">
        <w:rPr>
          <w:rFonts w:asciiTheme="majorHAnsi" w:hAnsiTheme="majorHAnsi"/>
          <w:szCs w:val="24"/>
        </w:rPr>
        <w:t>72206</w:t>
      </w:r>
      <w:r w:rsidRPr="006E51EB">
        <w:rPr>
          <w:rFonts w:asciiTheme="majorHAnsi" w:hAnsiTheme="majorHAnsi"/>
          <w:szCs w:val="24"/>
        </w:rPr>
        <w:t xml:space="preserve"> (razlika između prihoda i rashoda poslovanja). Višak pr</w:t>
      </w:r>
      <w:r w:rsidR="00EE2C2F">
        <w:rPr>
          <w:rFonts w:asciiTheme="majorHAnsi" w:hAnsiTheme="majorHAnsi"/>
          <w:szCs w:val="24"/>
        </w:rPr>
        <w:t>ihoda poslovanja prenesen iz 2020</w:t>
      </w:r>
      <w:r w:rsidRPr="006E51EB">
        <w:rPr>
          <w:rFonts w:asciiTheme="majorHAnsi" w:hAnsiTheme="majorHAnsi"/>
          <w:szCs w:val="24"/>
        </w:rPr>
        <w:t xml:space="preserve">. godine iznosi </w:t>
      </w:r>
      <w:r w:rsidR="00EE2C2F">
        <w:rPr>
          <w:rFonts w:asciiTheme="majorHAnsi" w:hAnsiTheme="majorHAnsi"/>
          <w:szCs w:val="24"/>
        </w:rPr>
        <w:t>46.126</w:t>
      </w:r>
      <w:r w:rsidR="00251582">
        <w:rPr>
          <w:rFonts w:asciiTheme="majorHAnsi" w:hAnsiTheme="majorHAnsi"/>
          <w:szCs w:val="24"/>
        </w:rPr>
        <w:t xml:space="preserve"> kn</w:t>
      </w:r>
      <w:r w:rsidRPr="006E51EB">
        <w:rPr>
          <w:rFonts w:asciiTheme="majorHAnsi" w:hAnsiTheme="majorHAnsi"/>
          <w:szCs w:val="24"/>
        </w:rPr>
        <w:t>.</w:t>
      </w:r>
    </w:p>
    <w:p w:rsidR="006E51EB" w:rsidRPr="006E51EB" w:rsidRDefault="006E51EB" w:rsidP="006E51EB">
      <w:pPr>
        <w:pStyle w:val="Bezproreda"/>
        <w:jc w:val="both"/>
        <w:rPr>
          <w:rFonts w:asciiTheme="majorHAnsi" w:hAnsiTheme="majorHAnsi"/>
          <w:sz w:val="16"/>
          <w:szCs w:val="24"/>
        </w:rPr>
      </w:pPr>
    </w:p>
    <w:p w:rsidR="006E51EB" w:rsidRDefault="006E51EB" w:rsidP="006E51EB">
      <w:pPr>
        <w:pStyle w:val="Bezproreda"/>
        <w:jc w:val="both"/>
        <w:rPr>
          <w:rFonts w:asciiTheme="majorHAnsi" w:hAnsiTheme="majorHAnsi"/>
          <w:szCs w:val="24"/>
        </w:rPr>
      </w:pPr>
      <w:r w:rsidRPr="006E51EB">
        <w:rPr>
          <w:rFonts w:asciiTheme="majorHAnsi" w:hAnsiTheme="majorHAnsi"/>
          <w:b/>
          <w:szCs w:val="24"/>
        </w:rPr>
        <w:t xml:space="preserve">AOP </w:t>
      </w:r>
      <w:r w:rsidR="00DA328B">
        <w:rPr>
          <w:rFonts w:asciiTheme="majorHAnsi" w:hAnsiTheme="majorHAnsi"/>
          <w:b/>
          <w:szCs w:val="24"/>
        </w:rPr>
        <w:t>399</w:t>
      </w:r>
      <w:r w:rsidRPr="006E51EB">
        <w:rPr>
          <w:rFonts w:asciiTheme="majorHAnsi" w:hAnsiTheme="majorHAnsi"/>
          <w:szCs w:val="24"/>
        </w:rPr>
        <w:t xml:space="preserve"> </w:t>
      </w:r>
      <w:r w:rsidR="00DA328B">
        <w:rPr>
          <w:rFonts w:asciiTheme="majorHAnsi" w:hAnsiTheme="majorHAnsi"/>
          <w:szCs w:val="24"/>
        </w:rPr>
        <w:t>Manjak prihod</w:t>
      </w:r>
      <w:r w:rsidR="00B54184">
        <w:rPr>
          <w:rFonts w:asciiTheme="majorHAnsi" w:hAnsiTheme="majorHAnsi"/>
          <w:szCs w:val="24"/>
        </w:rPr>
        <w:t>a</w:t>
      </w:r>
      <w:r w:rsidR="00EE2C2F">
        <w:rPr>
          <w:rFonts w:asciiTheme="majorHAnsi" w:hAnsiTheme="majorHAnsi"/>
          <w:szCs w:val="24"/>
        </w:rPr>
        <w:t xml:space="preserve"> od nefinancijske imovine u 2021</w:t>
      </w:r>
      <w:r w:rsidR="00DA328B">
        <w:rPr>
          <w:rFonts w:asciiTheme="majorHAnsi" w:hAnsiTheme="majorHAnsi"/>
          <w:szCs w:val="24"/>
        </w:rPr>
        <w:t xml:space="preserve">. godini je </w:t>
      </w:r>
      <w:r w:rsidR="00EE2C2F">
        <w:rPr>
          <w:rFonts w:asciiTheme="majorHAnsi" w:hAnsiTheme="majorHAnsi"/>
          <w:szCs w:val="24"/>
        </w:rPr>
        <w:t>103.296</w:t>
      </w:r>
      <w:r w:rsidR="00B55C0E">
        <w:rPr>
          <w:rFonts w:asciiTheme="majorHAnsi" w:hAnsiTheme="majorHAnsi"/>
          <w:szCs w:val="24"/>
        </w:rPr>
        <w:t xml:space="preserve"> kn, </w:t>
      </w:r>
    </w:p>
    <w:p w:rsidR="006E51EB" w:rsidRPr="006E51EB" w:rsidRDefault="006E51EB" w:rsidP="006E51EB">
      <w:pPr>
        <w:pStyle w:val="Bezproreda"/>
        <w:jc w:val="both"/>
        <w:rPr>
          <w:rFonts w:asciiTheme="majorHAnsi" w:hAnsiTheme="majorHAnsi"/>
          <w:sz w:val="16"/>
          <w:szCs w:val="24"/>
        </w:rPr>
      </w:pPr>
    </w:p>
    <w:p w:rsidR="006E51EB" w:rsidRDefault="006E51EB" w:rsidP="006E51EB">
      <w:pPr>
        <w:pStyle w:val="Bezproreda"/>
        <w:jc w:val="both"/>
        <w:rPr>
          <w:rFonts w:asciiTheme="majorHAnsi" w:hAnsiTheme="majorHAnsi"/>
          <w:b/>
          <w:szCs w:val="24"/>
        </w:rPr>
      </w:pPr>
      <w:r w:rsidRPr="006E51EB">
        <w:rPr>
          <w:rFonts w:asciiTheme="majorHAnsi" w:hAnsiTheme="majorHAnsi"/>
          <w:szCs w:val="24"/>
        </w:rPr>
        <w:t xml:space="preserve">Kao rezultat prije navedenog, </w:t>
      </w:r>
      <w:r w:rsidR="00DA328B">
        <w:rPr>
          <w:rFonts w:asciiTheme="majorHAnsi" w:hAnsiTheme="majorHAnsi"/>
          <w:szCs w:val="24"/>
        </w:rPr>
        <w:t xml:space="preserve">ukupan </w:t>
      </w:r>
      <w:r w:rsidR="00EE2C2F">
        <w:rPr>
          <w:rFonts w:asciiTheme="majorHAnsi" w:hAnsiTheme="majorHAnsi"/>
          <w:szCs w:val="24"/>
        </w:rPr>
        <w:t>višak</w:t>
      </w:r>
      <w:r w:rsidR="00DA328B">
        <w:rPr>
          <w:rFonts w:asciiTheme="majorHAnsi" w:hAnsiTheme="majorHAnsi"/>
          <w:szCs w:val="24"/>
        </w:rPr>
        <w:t xml:space="preserve"> prihoda i primitaka </w:t>
      </w:r>
      <w:r w:rsidR="00EE2C2F">
        <w:rPr>
          <w:rFonts w:asciiTheme="majorHAnsi" w:hAnsiTheme="majorHAnsi"/>
          <w:szCs w:val="24"/>
        </w:rPr>
        <w:t xml:space="preserve">raspoloživ u </w:t>
      </w:r>
      <w:r w:rsidR="00DA328B">
        <w:rPr>
          <w:rFonts w:asciiTheme="majorHAnsi" w:hAnsiTheme="majorHAnsi"/>
          <w:szCs w:val="24"/>
        </w:rPr>
        <w:t xml:space="preserve"> sljedećem razdoblju iznosi </w:t>
      </w:r>
      <w:r w:rsidR="00EE2C2F">
        <w:rPr>
          <w:rFonts w:asciiTheme="majorHAnsi" w:hAnsiTheme="majorHAnsi"/>
          <w:szCs w:val="24"/>
        </w:rPr>
        <w:t>15.036</w:t>
      </w:r>
      <w:r w:rsidR="00DA328B">
        <w:rPr>
          <w:rFonts w:asciiTheme="majorHAnsi" w:hAnsiTheme="majorHAnsi"/>
          <w:szCs w:val="24"/>
        </w:rPr>
        <w:t xml:space="preserve"> kn </w:t>
      </w:r>
      <w:r w:rsidR="00B55C0E">
        <w:rPr>
          <w:rFonts w:asciiTheme="majorHAnsi" w:hAnsiTheme="majorHAnsi"/>
          <w:b/>
          <w:szCs w:val="24"/>
        </w:rPr>
        <w:t>(AOP 631+633-632-634</w:t>
      </w:r>
      <w:r w:rsidR="00DA328B" w:rsidRPr="00DA328B">
        <w:rPr>
          <w:rFonts w:asciiTheme="majorHAnsi" w:hAnsiTheme="majorHAnsi"/>
          <w:b/>
          <w:szCs w:val="24"/>
        </w:rPr>
        <w:t>)</w:t>
      </w:r>
    </w:p>
    <w:p w:rsidR="000C05A2" w:rsidRPr="006E51EB" w:rsidRDefault="000C05A2" w:rsidP="006E51EB">
      <w:pPr>
        <w:pStyle w:val="Bezproreda"/>
        <w:jc w:val="both"/>
        <w:rPr>
          <w:rFonts w:asciiTheme="majorHAnsi" w:hAnsiTheme="majorHAnsi"/>
          <w:szCs w:val="24"/>
        </w:rPr>
      </w:pPr>
    </w:p>
    <w:p w:rsidR="00F95BB0" w:rsidRPr="0066692C" w:rsidRDefault="00F95BB0" w:rsidP="00385BEF">
      <w:pPr>
        <w:pStyle w:val="Bezproreda"/>
        <w:rPr>
          <w:rFonts w:asciiTheme="majorHAnsi" w:hAnsiTheme="majorHAnsi"/>
          <w:b/>
          <w:szCs w:val="24"/>
        </w:rPr>
      </w:pPr>
    </w:p>
    <w:p w:rsidR="00385BEF" w:rsidRDefault="00385BEF" w:rsidP="00385BEF">
      <w:pPr>
        <w:pStyle w:val="Bezproreda"/>
        <w:rPr>
          <w:rFonts w:asciiTheme="majorHAnsi" w:hAnsiTheme="majorHAnsi"/>
          <w:szCs w:val="24"/>
        </w:rPr>
      </w:pPr>
    </w:p>
    <w:p w:rsidR="00EC7404" w:rsidRDefault="00EC7404" w:rsidP="00B5451C">
      <w:pPr>
        <w:pStyle w:val="Bezproreda"/>
        <w:jc w:val="both"/>
        <w:rPr>
          <w:rFonts w:asciiTheme="majorHAnsi" w:hAnsiTheme="majorHAnsi"/>
          <w:szCs w:val="24"/>
        </w:rPr>
      </w:pPr>
      <w:r w:rsidRPr="006E51EB">
        <w:rPr>
          <w:rFonts w:asciiTheme="majorHAnsi" w:hAnsiTheme="majorHAnsi"/>
          <w:b/>
          <w:szCs w:val="24"/>
        </w:rPr>
        <w:t>AOP 638-641</w:t>
      </w:r>
      <w:r w:rsidR="006C5A38">
        <w:rPr>
          <w:rFonts w:asciiTheme="majorHAnsi" w:hAnsiTheme="majorHAnsi"/>
          <w:szCs w:val="24"/>
        </w:rPr>
        <w:t xml:space="preserve"> U 202</w:t>
      </w:r>
      <w:r w:rsidR="00067BD4">
        <w:rPr>
          <w:rFonts w:asciiTheme="majorHAnsi" w:hAnsiTheme="majorHAnsi"/>
          <w:szCs w:val="24"/>
        </w:rPr>
        <w:t>1</w:t>
      </w:r>
      <w:r w:rsidRPr="00EC7404">
        <w:rPr>
          <w:rFonts w:asciiTheme="majorHAnsi" w:hAnsiTheme="majorHAnsi"/>
          <w:szCs w:val="24"/>
        </w:rPr>
        <w:t xml:space="preserve">. godinu ušli smo sa </w:t>
      </w:r>
      <w:r w:rsidR="00067BD4">
        <w:rPr>
          <w:rFonts w:asciiTheme="majorHAnsi" w:hAnsiTheme="majorHAnsi"/>
          <w:szCs w:val="24"/>
        </w:rPr>
        <w:t>57.615</w:t>
      </w:r>
      <w:r w:rsidRPr="00EC7404">
        <w:rPr>
          <w:rFonts w:asciiTheme="majorHAnsi" w:hAnsiTheme="majorHAnsi"/>
          <w:szCs w:val="24"/>
        </w:rPr>
        <w:t xml:space="preserve"> na žiro računu i blagajni. Ukupni priljev novčanih sredstava je bio </w:t>
      </w:r>
      <w:r w:rsidR="00067BD4">
        <w:rPr>
          <w:rFonts w:asciiTheme="majorHAnsi" w:hAnsiTheme="majorHAnsi"/>
          <w:szCs w:val="24"/>
        </w:rPr>
        <w:t xml:space="preserve">754.623 </w:t>
      </w:r>
      <w:r w:rsidR="006E51EB">
        <w:rPr>
          <w:rFonts w:asciiTheme="majorHAnsi" w:hAnsiTheme="majorHAnsi"/>
          <w:szCs w:val="24"/>
        </w:rPr>
        <w:t>kn</w:t>
      </w:r>
      <w:r w:rsidRPr="00EC7404">
        <w:rPr>
          <w:rFonts w:asciiTheme="majorHAnsi" w:hAnsiTheme="majorHAnsi"/>
          <w:szCs w:val="24"/>
        </w:rPr>
        <w:t xml:space="preserve">, dok je u istom </w:t>
      </w:r>
      <w:r w:rsidR="006E51EB">
        <w:rPr>
          <w:rFonts w:asciiTheme="majorHAnsi" w:hAnsiTheme="majorHAnsi"/>
          <w:szCs w:val="24"/>
        </w:rPr>
        <w:t>razdoblju</w:t>
      </w:r>
      <w:r w:rsidRPr="00EC7404">
        <w:rPr>
          <w:rFonts w:asciiTheme="majorHAnsi" w:hAnsiTheme="majorHAnsi"/>
          <w:szCs w:val="24"/>
        </w:rPr>
        <w:t xml:space="preserve"> odljev bio </w:t>
      </w:r>
      <w:r w:rsidR="00067BD4">
        <w:rPr>
          <w:rFonts w:asciiTheme="majorHAnsi" w:hAnsiTheme="majorHAnsi"/>
          <w:szCs w:val="24"/>
        </w:rPr>
        <w:t xml:space="preserve">774.504kn </w:t>
      </w:r>
      <w:r w:rsidRPr="00EC7404">
        <w:rPr>
          <w:rFonts w:asciiTheme="majorHAnsi" w:hAnsiTheme="majorHAnsi"/>
          <w:szCs w:val="24"/>
        </w:rPr>
        <w:t>, te je stanje nov</w:t>
      </w:r>
      <w:r w:rsidR="006C5A38">
        <w:rPr>
          <w:rFonts w:asciiTheme="majorHAnsi" w:hAnsiTheme="majorHAnsi"/>
          <w:szCs w:val="24"/>
        </w:rPr>
        <w:t>čanih sredstava na dan 31.12.202</w:t>
      </w:r>
      <w:r w:rsidR="00067BD4">
        <w:rPr>
          <w:rFonts w:asciiTheme="majorHAnsi" w:hAnsiTheme="majorHAnsi"/>
          <w:szCs w:val="24"/>
        </w:rPr>
        <w:t>1</w:t>
      </w:r>
      <w:r w:rsidRPr="00EC7404">
        <w:rPr>
          <w:rFonts w:asciiTheme="majorHAnsi" w:hAnsiTheme="majorHAnsi"/>
          <w:szCs w:val="24"/>
        </w:rPr>
        <w:t xml:space="preserve">. iznosilo </w:t>
      </w:r>
      <w:r w:rsidR="00067BD4">
        <w:rPr>
          <w:rFonts w:asciiTheme="majorHAnsi" w:hAnsiTheme="majorHAnsi"/>
          <w:szCs w:val="24"/>
        </w:rPr>
        <w:t>37.734 kn</w:t>
      </w:r>
      <w:r w:rsidRPr="00EC7404">
        <w:rPr>
          <w:rFonts w:asciiTheme="majorHAnsi" w:hAnsiTheme="majorHAnsi"/>
          <w:szCs w:val="24"/>
        </w:rPr>
        <w:t>.</w:t>
      </w:r>
      <w:r w:rsidR="006C5A38">
        <w:rPr>
          <w:rFonts w:asciiTheme="majorHAnsi" w:hAnsiTheme="majorHAnsi"/>
          <w:szCs w:val="24"/>
        </w:rPr>
        <w:t xml:space="preserve"> </w:t>
      </w:r>
      <w:r w:rsidR="00067BD4">
        <w:rPr>
          <w:rFonts w:asciiTheme="majorHAnsi" w:hAnsiTheme="majorHAnsi"/>
          <w:szCs w:val="24"/>
        </w:rPr>
        <w:t>Odstupanja su rezultat prije navedenih aktivnosti.</w:t>
      </w:r>
    </w:p>
    <w:p w:rsidR="008E5048" w:rsidRDefault="008E5048" w:rsidP="00B5451C">
      <w:pPr>
        <w:pStyle w:val="Bezproreda"/>
        <w:jc w:val="both"/>
        <w:rPr>
          <w:rFonts w:asciiTheme="majorHAnsi" w:hAnsiTheme="majorHAnsi"/>
          <w:szCs w:val="24"/>
        </w:rPr>
      </w:pPr>
    </w:p>
    <w:p w:rsidR="00385BEF" w:rsidRDefault="00385BEF" w:rsidP="00385BEF">
      <w:pPr>
        <w:pStyle w:val="Bezproreda"/>
        <w:rPr>
          <w:rFonts w:asciiTheme="majorHAnsi" w:hAnsiTheme="majorHAnsi"/>
          <w:b/>
          <w:szCs w:val="24"/>
        </w:rPr>
      </w:pPr>
    </w:p>
    <w:p w:rsidR="00385BEF" w:rsidRPr="00D54F3A" w:rsidRDefault="00385BEF" w:rsidP="00F95BB0">
      <w:pPr>
        <w:pStyle w:val="Bezproreda"/>
        <w:shd w:val="clear" w:color="auto" w:fill="000000" w:themeFill="text1"/>
        <w:rPr>
          <w:rFonts w:asciiTheme="majorHAnsi" w:hAnsiTheme="majorHAnsi"/>
          <w:b/>
          <w:szCs w:val="24"/>
        </w:rPr>
      </w:pPr>
      <w:r w:rsidRPr="00D54F3A">
        <w:rPr>
          <w:rFonts w:asciiTheme="majorHAnsi" w:hAnsiTheme="majorHAnsi"/>
          <w:b/>
          <w:szCs w:val="24"/>
        </w:rPr>
        <w:lastRenderedPageBreak/>
        <w:t>Bilješke uz Izvještaj u vrijednosti i obujmu imovine i obveza – Obrazac P-VRIO</w:t>
      </w:r>
    </w:p>
    <w:p w:rsidR="00385BEF" w:rsidRDefault="00385BEF" w:rsidP="00385BEF">
      <w:pPr>
        <w:pStyle w:val="Bezproreda"/>
        <w:rPr>
          <w:rFonts w:asciiTheme="majorHAnsi" w:hAnsiTheme="majorHAnsi"/>
          <w:szCs w:val="24"/>
        </w:rPr>
      </w:pPr>
    </w:p>
    <w:p w:rsidR="008E5048" w:rsidRDefault="008E5048" w:rsidP="008E5048">
      <w:pPr>
        <w:pStyle w:val="Bezproreda"/>
        <w:jc w:val="both"/>
        <w:rPr>
          <w:rFonts w:asciiTheme="majorHAnsi" w:hAnsiTheme="majorHAnsi"/>
          <w:szCs w:val="24"/>
        </w:rPr>
      </w:pPr>
      <w:r w:rsidRPr="008E5048">
        <w:rPr>
          <w:rFonts w:asciiTheme="majorHAnsi" w:hAnsiTheme="majorHAnsi"/>
          <w:szCs w:val="24"/>
        </w:rPr>
        <w:t xml:space="preserve">Temeljem Uputa o priznavanju, mjerenju i evidentiranju imovine u vlasništvu Republike Hrvatske propisana je obveza proračunskih korisnika o prikazivanju promjena nad imovinom. </w:t>
      </w:r>
      <w:r w:rsidR="00AF58CF">
        <w:rPr>
          <w:rFonts w:asciiTheme="majorHAnsi" w:hAnsiTheme="majorHAnsi"/>
          <w:szCs w:val="24"/>
        </w:rPr>
        <w:t>U 2021 došlo je do povećanja stanja iskazanog na AOP 021 u iznosu 18.750 kn , za izradu porjektne dokumentacije za postavljanje solarne elektrane.</w:t>
      </w:r>
    </w:p>
    <w:p w:rsidR="00385BEF" w:rsidRDefault="00385BEF" w:rsidP="00385BEF">
      <w:pPr>
        <w:pStyle w:val="Bezproreda"/>
        <w:rPr>
          <w:rFonts w:asciiTheme="majorHAnsi" w:hAnsiTheme="majorHAnsi"/>
          <w:szCs w:val="24"/>
        </w:rPr>
      </w:pPr>
    </w:p>
    <w:p w:rsidR="00385BEF" w:rsidRPr="002D046C" w:rsidRDefault="00385BEF" w:rsidP="00F95BB0">
      <w:pPr>
        <w:pStyle w:val="Bezproreda"/>
        <w:shd w:val="clear" w:color="auto" w:fill="000000" w:themeFill="text1"/>
        <w:rPr>
          <w:rFonts w:asciiTheme="majorHAnsi" w:hAnsiTheme="majorHAnsi"/>
          <w:b/>
          <w:szCs w:val="24"/>
        </w:rPr>
      </w:pPr>
      <w:r w:rsidRPr="002D046C">
        <w:rPr>
          <w:rFonts w:asciiTheme="majorHAnsi" w:hAnsiTheme="majorHAnsi"/>
          <w:b/>
          <w:szCs w:val="24"/>
        </w:rPr>
        <w:t>Bilješke uz izvještaj o rashodima prema funkcijskoj klasifikaciji – Obrazac RAS-funkcijski</w:t>
      </w:r>
    </w:p>
    <w:p w:rsidR="008E5048" w:rsidRPr="008E5048" w:rsidRDefault="008E5048" w:rsidP="00385BEF">
      <w:pPr>
        <w:pStyle w:val="Bezproreda"/>
        <w:rPr>
          <w:rFonts w:asciiTheme="majorHAnsi" w:hAnsiTheme="majorHAnsi"/>
          <w:sz w:val="16"/>
          <w:szCs w:val="24"/>
        </w:rPr>
      </w:pPr>
    </w:p>
    <w:p w:rsidR="00385BEF" w:rsidRDefault="008E5048" w:rsidP="008E5048">
      <w:pPr>
        <w:pStyle w:val="Bezproreda"/>
        <w:jc w:val="both"/>
        <w:rPr>
          <w:rFonts w:asciiTheme="majorHAnsi" w:hAnsiTheme="majorHAnsi"/>
          <w:szCs w:val="24"/>
        </w:rPr>
      </w:pPr>
      <w:r w:rsidRPr="008E5048">
        <w:rPr>
          <w:rFonts w:asciiTheme="majorHAnsi" w:hAnsiTheme="majorHAnsi"/>
          <w:szCs w:val="24"/>
        </w:rPr>
        <w:t>Temeljem čl.7. Pravilnika o financijskom izvještavanju u proračunskom računovodstvu škola je obveznik predaje ovoga obrasca. Financijska klasifikacija sadrži aktivnosti odnosno projekte korisnika proračuna razvrstane prema njihovoj namjeni. Podaci iz izvještaja RAS- funkcijski omogućavaju informaciju o državnoj potrošnji po funkcijama. U funkciji 09 nalazi se obrazovanje, te su ukupno iskazani rashodi poslovanja razreda 3</w:t>
      </w:r>
      <w:r>
        <w:rPr>
          <w:rFonts w:asciiTheme="majorHAnsi" w:hAnsiTheme="majorHAnsi"/>
          <w:szCs w:val="24"/>
        </w:rPr>
        <w:t xml:space="preserve"> i 4</w:t>
      </w:r>
      <w:r w:rsidRPr="008E5048">
        <w:rPr>
          <w:rFonts w:asciiTheme="majorHAnsi" w:hAnsiTheme="majorHAnsi"/>
          <w:szCs w:val="24"/>
        </w:rPr>
        <w:t xml:space="preserve"> uvršteni u AOP 113 navedenog obrasca u iznosu od </w:t>
      </w:r>
      <w:r w:rsidR="00AF58CF">
        <w:rPr>
          <w:rFonts w:asciiTheme="majorHAnsi" w:hAnsiTheme="majorHAnsi"/>
          <w:szCs w:val="24"/>
        </w:rPr>
        <w:t>4.095.672</w:t>
      </w:r>
      <w:r>
        <w:rPr>
          <w:rFonts w:asciiTheme="majorHAnsi" w:hAnsiTheme="majorHAnsi"/>
          <w:szCs w:val="24"/>
        </w:rPr>
        <w:t xml:space="preserve"> kn</w:t>
      </w:r>
      <w:r w:rsidRPr="008E5048">
        <w:rPr>
          <w:rFonts w:asciiTheme="majorHAnsi" w:hAnsiTheme="majorHAnsi"/>
          <w:szCs w:val="24"/>
        </w:rPr>
        <w:t>.</w:t>
      </w:r>
    </w:p>
    <w:p w:rsidR="008E5048" w:rsidRPr="008E5048" w:rsidRDefault="008E5048" w:rsidP="00385BEF">
      <w:pPr>
        <w:pStyle w:val="Bezproreda"/>
        <w:rPr>
          <w:rFonts w:asciiTheme="majorHAnsi" w:hAnsiTheme="majorHAnsi"/>
          <w:sz w:val="16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43"/>
        <w:gridCol w:w="3213"/>
        <w:gridCol w:w="945"/>
        <w:gridCol w:w="1935"/>
        <w:gridCol w:w="2051"/>
        <w:gridCol w:w="1181"/>
      </w:tblGrid>
      <w:tr w:rsidR="00385BEF" w:rsidRPr="00196D2B" w:rsidTr="00AF58CF">
        <w:trPr>
          <w:trHeight w:val="428"/>
        </w:trPr>
        <w:tc>
          <w:tcPr>
            <w:tcW w:w="943" w:type="dxa"/>
            <w:shd w:val="clear" w:color="auto" w:fill="000000" w:themeFill="text1"/>
          </w:tcPr>
          <w:p w:rsidR="00385BEF" w:rsidRPr="00196D2B" w:rsidRDefault="00385BEF" w:rsidP="00F71FFF">
            <w:pPr>
              <w:pStyle w:val="Bezproreda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Račun</w:t>
            </w:r>
          </w:p>
        </w:tc>
        <w:tc>
          <w:tcPr>
            <w:tcW w:w="3213" w:type="dxa"/>
            <w:shd w:val="clear" w:color="auto" w:fill="000000" w:themeFill="text1"/>
          </w:tcPr>
          <w:p w:rsidR="00385BEF" w:rsidRPr="00196D2B" w:rsidRDefault="00385BEF" w:rsidP="00F71FFF">
            <w:pPr>
              <w:pStyle w:val="Bezproreda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OPIS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85BEF" w:rsidRPr="00196D2B" w:rsidRDefault="00385BEF" w:rsidP="00F71FFF">
            <w:pPr>
              <w:pStyle w:val="Bezproreda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AOP</w:t>
            </w:r>
          </w:p>
        </w:tc>
        <w:tc>
          <w:tcPr>
            <w:tcW w:w="1935" w:type="dxa"/>
            <w:shd w:val="clear" w:color="auto" w:fill="000000" w:themeFill="text1"/>
          </w:tcPr>
          <w:p w:rsidR="00385BEF" w:rsidRPr="00196D2B" w:rsidRDefault="008E5048" w:rsidP="00FE2984">
            <w:pPr>
              <w:pStyle w:val="Bezproreda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Cs w:val="24"/>
              </w:rPr>
              <w:t>31.12</w:t>
            </w:r>
            <w:r w:rsidR="00FE2984">
              <w:rPr>
                <w:rFonts w:asciiTheme="majorHAnsi" w:hAnsiTheme="majorHAnsi"/>
                <w:b/>
                <w:color w:val="FFFFFF" w:themeColor="background1"/>
                <w:szCs w:val="24"/>
              </w:rPr>
              <w:t>.2020</w:t>
            </w:r>
            <w:r w:rsidR="00385BEF"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.</w:t>
            </w:r>
          </w:p>
        </w:tc>
        <w:tc>
          <w:tcPr>
            <w:tcW w:w="2051" w:type="dxa"/>
            <w:shd w:val="clear" w:color="auto" w:fill="000000" w:themeFill="text1"/>
          </w:tcPr>
          <w:p w:rsidR="00385BEF" w:rsidRPr="00196D2B" w:rsidRDefault="00385BEF" w:rsidP="00FE2984">
            <w:pPr>
              <w:pStyle w:val="Bezproreda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31.12.</w:t>
            </w:r>
            <w:r w:rsidR="006C5A38">
              <w:rPr>
                <w:rFonts w:asciiTheme="majorHAnsi" w:hAnsiTheme="majorHAnsi"/>
                <w:b/>
                <w:color w:val="FFFFFF" w:themeColor="background1"/>
                <w:szCs w:val="24"/>
              </w:rPr>
              <w:t>202</w:t>
            </w:r>
            <w:r w:rsidR="00FE2984">
              <w:rPr>
                <w:rFonts w:asciiTheme="majorHAnsi" w:hAnsiTheme="majorHAnsi"/>
                <w:b/>
                <w:color w:val="FFFFFF" w:themeColor="background1"/>
                <w:szCs w:val="24"/>
              </w:rPr>
              <w:t>1</w:t>
            </w:r>
            <w:r w:rsidR="008E5048">
              <w:rPr>
                <w:rFonts w:asciiTheme="majorHAnsi" w:hAnsiTheme="majorHAnsi"/>
                <w:b/>
                <w:color w:val="FFFFFF" w:themeColor="background1"/>
                <w:szCs w:val="24"/>
              </w:rPr>
              <w:t>.</w:t>
            </w:r>
          </w:p>
        </w:tc>
        <w:tc>
          <w:tcPr>
            <w:tcW w:w="1181" w:type="dxa"/>
            <w:shd w:val="clear" w:color="auto" w:fill="000000" w:themeFill="text1"/>
          </w:tcPr>
          <w:p w:rsidR="00385BEF" w:rsidRPr="00196D2B" w:rsidRDefault="00385BEF" w:rsidP="00F71FFF">
            <w:pPr>
              <w:pStyle w:val="Bezproreda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Indeks</w:t>
            </w:r>
          </w:p>
        </w:tc>
      </w:tr>
      <w:tr w:rsidR="00385BEF" w:rsidTr="00941147">
        <w:tc>
          <w:tcPr>
            <w:tcW w:w="943" w:type="dxa"/>
          </w:tcPr>
          <w:p w:rsidR="00385BEF" w:rsidRDefault="00385BEF" w:rsidP="00F71FFF">
            <w:pPr>
              <w:pStyle w:val="Bezproreda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09</w:t>
            </w:r>
          </w:p>
        </w:tc>
        <w:tc>
          <w:tcPr>
            <w:tcW w:w="3213" w:type="dxa"/>
          </w:tcPr>
          <w:p w:rsidR="00385BEF" w:rsidRDefault="00385BEF" w:rsidP="00F71FFF">
            <w:pPr>
              <w:pStyle w:val="Bezproreda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Obrazovanje</w:t>
            </w:r>
          </w:p>
        </w:tc>
        <w:tc>
          <w:tcPr>
            <w:tcW w:w="945" w:type="dxa"/>
            <w:shd w:val="clear" w:color="auto" w:fill="BFBFBF" w:themeFill="background1" w:themeFillShade="BF"/>
          </w:tcPr>
          <w:p w:rsidR="00385BEF" w:rsidRDefault="00385BEF" w:rsidP="00F71FFF">
            <w:pPr>
              <w:pStyle w:val="Bezproreda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110</w:t>
            </w:r>
          </w:p>
        </w:tc>
        <w:tc>
          <w:tcPr>
            <w:tcW w:w="1935" w:type="dxa"/>
          </w:tcPr>
          <w:p w:rsidR="00385BEF" w:rsidRDefault="00AF58CF" w:rsidP="00F71FFF">
            <w:pPr>
              <w:pStyle w:val="Bezproreda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3.559.737</w:t>
            </w:r>
          </w:p>
        </w:tc>
        <w:tc>
          <w:tcPr>
            <w:tcW w:w="2051" w:type="dxa"/>
          </w:tcPr>
          <w:p w:rsidR="00385BEF" w:rsidRDefault="00AF58CF" w:rsidP="00F71FFF">
            <w:pPr>
              <w:pStyle w:val="Bezproreda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4.095.672</w:t>
            </w:r>
          </w:p>
        </w:tc>
        <w:tc>
          <w:tcPr>
            <w:tcW w:w="1181" w:type="dxa"/>
          </w:tcPr>
          <w:p w:rsidR="00385BEF" w:rsidRDefault="00AF58CF" w:rsidP="00F71FFF">
            <w:pPr>
              <w:pStyle w:val="Bezproreda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115,1</w:t>
            </w:r>
          </w:p>
        </w:tc>
      </w:tr>
    </w:tbl>
    <w:p w:rsidR="004377D7" w:rsidRDefault="004377D7" w:rsidP="00385BEF">
      <w:pPr>
        <w:pStyle w:val="Bezproreda"/>
        <w:rPr>
          <w:rFonts w:asciiTheme="majorHAnsi" w:hAnsiTheme="majorHAnsi"/>
          <w:szCs w:val="24"/>
        </w:rPr>
      </w:pPr>
    </w:p>
    <w:p w:rsidR="008E5048" w:rsidRDefault="00385BEF" w:rsidP="00385BEF">
      <w:pPr>
        <w:pStyle w:val="Bezproreda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Rashodi osnovnog obrazovanja (AOP 113) su </w:t>
      </w:r>
      <w:r w:rsidR="004377D7">
        <w:rPr>
          <w:rFonts w:asciiTheme="majorHAnsi" w:hAnsiTheme="majorHAnsi"/>
          <w:szCs w:val="24"/>
        </w:rPr>
        <w:t xml:space="preserve">za gotovo </w:t>
      </w:r>
      <w:r w:rsidR="00AF58CF">
        <w:rPr>
          <w:rFonts w:asciiTheme="majorHAnsi" w:hAnsiTheme="majorHAnsi"/>
          <w:szCs w:val="24"/>
        </w:rPr>
        <w:t>15</w:t>
      </w:r>
      <w:r w:rsidR="004377D7">
        <w:rPr>
          <w:rFonts w:asciiTheme="majorHAnsi" w:hAnsiTheme="majorHAnsi"/>
          <w:szCs w:val="24"/>
        </w:rPr>
        <w:t>% viši od prošlogodišnjih, a to je iz razloga povećanja plaća i naknada zaposleni</w:t>
      </w:r>
      <w:r w:rsidR="00F00C7B">
        <w:rPr>
          <w:rFonts w:asciiTheme="majorHAnsi" w:hAnsiTheme="majorHAnsi"/>
          <w:szCs w:val="24"/>
        </w:rPr>
        <w:t>ka</w:t>
      </w:r>
      <w:r w:rsidR="004377D7">
        <w:rPr>
          <w:rFonts w:asciiTheme="majorHAnsi" w:hAnsiTheme="majorHAnsi"/>
          <w:szCs w:val="24"/>
        </w:rPr>
        <w:t>, kao i investicijskog ulaganja u  obje</w:t>
      </w:r>
      <w:r w:rsidR="00AF58CF">
        <w:rPr>
          <w:rFonts w:asciiTheme="majorHAnsi" w:hAnsiTheme="majorHAnsi"/>
          <w:szCs w:val="24"/>
        </w:rPr>
        <w:t>kte, postrojenja i opremu u 2021</w:t>
      </w:r>
      <w:r>
        <w:rPr>
          <w:rFonts w:asciiTheme="majorHAnsi" w:hAnsiTheme="majorHAnsi"/>
          <w:szCs w:val="24"/>
        </w:rPr>
        <w:t xml:space="preserve">. </w:t>
      </w:r>
    </w:p>
    <w:p w:rsidR="00385BEF" w:rsidRDefault="00385BEF" w:rsidP="00385BEF">
      <w:pPr>
        <w:pStyle w:val="Bezproreda"/>
        <w:rPr>
          <w:rFonts w:asciiTheme="majorHAnsi" w:hAnsiTheme="majorHAnsi"/>
          <w:b/>
          <w:szCs w:val="24"/>
        </w:rPr>
      </w:pPr>
    </w:p>
    <w:p w:rsidR="000C05A2" w:rsidRDefault="000C05A2" w:rsidP="00385BEF">
      <w:pPr>
        <w:pStyle w:val="Bezproreda"/>
        <w:rPr>
          <w:rFonts w:asciiTheme="majorHAnsi" w:hAnsiTheme="majorHAnsi"/>
          <w:b/>
          <w:szCs w:val="24"/>
        </w:rPr>
      </w:pPr>
    </w:p>
    <w:p w:rsidR="000C05A2" w:rsidRDefault="000C05A2" w:rsidP="00385BEF">
      <w:pPr>
        <w:pStyle w:val="Bezproreda"/>
        <w:rPr>
          <w:rFonts w:asciiTheme="majorHAnsi" w:hAnsiTheme="majorHAnsi"/>
          <w:b/>
          <w:szCs w:val="24"/>
        </w:rPr>
      </w:pPr>
    </w:p>
    <w:p w:rsidR="00385BEF" w:rsidRPr="002D046C" w:rsidRDefault="00385BEF" w:rsidP="00F95BB0">
      <w:pPr>
        <w:pStyle w:val="Bezproreda"/>
        <w:shd w:val="clear" w:color="auto" w:fill="000000" w:themeFill="text1"/>
        <w:rPr>
          <w:rFonts w:asciiTheme="majorHAnsi" w:hAnsiTheme="majorHAnsi"/>
          <w:b/>
          <w:szCs w:val="24"/>
        </w:rPr>
      </w:pPr>
      <w:r w:rsidRPr="002D046C">
        <w:rPr>
          <w:rFonts w:asciiTheme="majorHAnsi" w:hAnsiTheme="majorHAnsi"/>
          <w:b/>
          <w:szCs w:val="24"/>
        </w:rPr>
        <w:t>Bilješke uz obrazac Obveze</w:t>
      </w:r>
    </w:p>
    <w:p w:rsidR="008E5048" w:rsidRPr="008E5048" w:rsidRDefault="008E5048" w:rsidP="00784CFD">
      <w:pPr>
        <w:pStyle w:val="Bezproreda"/>
        <w:jc w:val="both"/>
        <w:rPr>
          <w:rFonts w:asciiTheme="majorHAnsi" w:hAnsiTheme="majorHAnsi"/>
          <w:sz w:val="16"/>
          <w:szCs w:val="24"/>
        </w:rPr>
      </w:pPr>
    </w:p>
    <w:p w:rsidR="00385BEF" w:rsidRDefault="006C5A38" w:rsidP="00784CFD">
      <w:pPr>
        <w:pStyle w:val="Bezproreda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Škola je u 2021</w:t>
      </w:r>
      <w:r w:rsidR="00385BEF">
        <w:rPr>
          <w:rFonts w:asciiTheme="majorHAnsi" w:hAnsiTheme="majorHAnsi"/>
          <w:szCs w:val="24"/>
        </w:rPr>
        <w:t xml:space="preserve">. godinu prenijela ukupne obveze u iznosu od </w:t>
      </w:r>
      <w:r w:rsidR="00AF58CF">
        <w:rPr>
          <w:rFonts w:asciiTheme="majorHAnsi" w:hAnsiTheme="majorHAnsi"/>
          <w:szCs w:val="24"/>
        </w:rPr>
        <w:t>280.413</w:t>
      </w:r>
      <w:r w:rsidR="00385BEF">
        <w:rPr>
          <w:rFonts w:asciiTheme="majorHAnsi" w:hAnsiTheme="majorHAnsi"/>
          <w:szCs w:val="24"/>
        </w:rPr>
        <w:t xml:space="preserve"> kn (AOP 001), a odnose se materijalne rashode (energenti) </w:t>
      </w:r>
      <w:r>
        <w:rPr>
          <w:rFonts w:asciiTheme="majorHAnsi" w:hAnsiTheme="majorHAnsi"/>
          <w:szCs w:val="24"/>
        </w:rPr>
        <w:t>i troškove plaće za prosinac 202</w:t>
      </w:r>
      <w:r w:rsidR="00AF58CF">
        <w:rPr>
          <w:rFonts w:asciiTheme="majorHAnsi" w:hAnsiTheme="majorHAnsi"/>
          <w:szCs w:val="24"/>
        </w:rPr>
        <w:t>1</w:t>
      </w:r>
      <w:r w:rsidR="00385BEF">
        <w:rPr>
          <w:rFonts w:asciiTheme="majorHAnsi" w:hAnsiTheme="majorHAnsi"/>
          <w:szCs w:val="24"/>
        </w:rPr>
        <w:t>. godine.</w:t>
      </w:r>
      <w:r w:rsidR="00941147">
        <w:rPr>
          <w:rFonts w:asciiTheme="majorHAnsi" w:hAnsiTheme="majorHAnsi"/>
          <w:szCs w:val="24"/>
        </w:rPr>
        <w:t xml:space="preserve"> </w:t>
      </w:r>
    </w:p>
    <w:p w:rsidR="00385BEF" w:rsidRDefault="00385BEF" w:rsidP="008E5048">
      <w:pPr>
        <w:pStyle w:val="Bezproreda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Ukupno povećanje obveza u ovoj godini iznosi </w:t>
      </w:r>
      <w:r w:rsidR="00AF58CF">
        <w:rPr>
          <w:rFonts w:asciiTheme="majorHAnsi" w:hAnsiTheme="majorHAnsi"/>
          <w:szCs w:val="24"/>
        </w:rPr>
        <w:t>4.103.816</w:t>
      </w:r>
      <w:r>
        <w:rPr>
          <w:rFonts w:asciiTheme="majorHAnsi" w:hAnsiTheme="majorHAnsi"/>
          <w:szCs w:val="24"/>
        </w:rPr>
        <w:t xml:space="preserve"> kuna, od čega su obveze za zaposlene </w:t>
      </w:r>
      <w:r w:rsidR="00AF58CF">
        <w:rPr>
          <w:rFonts w:asciiTheme="majorHAnsi" w:hAnsiTheme="majorHAnsi"/>
          <w:szCs w:val="24"/>
        </w:rPr>
        <w:t>4.000.520</w:t>
      </w:r>
      <w:r>
        <w:rPr>
          <w:rFonts w:asciiTheme="majorHAnsi" w:hAnsiTheme="majorHAnsi"/>
          <w:szCs w:val="24"/>
        </w:rPr>
        <w:t xml:space="preserve">, obveze za materijalne rashode </w:t>
      </w:r>
      <w:r w:rsidR="00AF58CF">
        <w:rPr>
          <w:rFonts w:asciiTheme="majorHAnsi" w:hAnsiTheme="majorHAnsi"/>
          <w:szCs w:val="24"/>
        </w:rPr>
        <w:t>825.682</w:t>
      </w:r>
      <w:r>
        <w:rPr>
          <w:rFonts w:asciiTheme="majorHAnsi" w:hAnsiTheme="majorHAnsi"/>
          <w:szCs w:val="24"/>
        </w:rPr>
        <w:t xml:space="preserve">, financijski rashodi </w:t>
      </w:r>
      <w:r w:rsidR="00AF58CF">
        <w:rPr>
          <w:rFonts w:asciiTheme="majorHAnsi" w:hAnsiTheme="majorHAnsi"/>
          <w:szCs w:val="24"/>
        </w:rPr>
        <w:t xml:space="preserve">2.927, </w:t>
      </w:r>
      <w:r>
        <w:rPr>
          <w:rFonts w:asciiTheme="majorHAnsi" w:hAnsiTheme="majorHAnsi"/>
          <w:szCs w:val="24"/>
        </w:rPr>
        <w:t xml:space="preserve"> obveze za nabavu nefinancijske imovine </w:t>
      </w:r>
      <w:r w:rsidR="00AF58CF">
        <w:rPr>
          <w:rFonts w:asciiTheme="majorHAnsi" w:hAnsiTheme="majorHAnsi"/>
          <w:szCs w:val="24"/>
        </w:rPr>
        <w:t>103.296</w:t>
      </w:r>
      <w:r>
        <w:rPr>
          <w:rFonts w:asciiTheme="majorHAnsi" w:hAnsiTheme="majorHAnsi"/>
          <w:szCs w:val="24"/>
        </w:rPr>
        <w:t xml:space="preserve"> kn. </w:t>
      </w:r>
      <w:r w:rsidR="00AF58CF">
        <w:rPr>
          <w:rFonts w:asciiTheme="majorHAnsi" w:hAnsiTheme="majorHAnsi"/>
          <w:szCs w:val="24"/>
        </w:rPr>
        <w:t xml:space="preserve"> Stanje obaveza na kraju perioda iznosi 299.961 </w:t>
      </w:r>
      <w:r w:rsidR="003A7131">
        <w:rPr>
          <w:rFonts w:asciiTheme="majorHAnsi" w:hAnsiTheme="majorHAnsi"/>
          <w:szCs w:val="24"/>
        </w:rPr>
        <w:t xml:space="preserve">kn. </w:t>
      </w:r>
    </w:p>
    <w:p w:rsidR="00385BEF" w:rsidRDefault="00385BEF" w:rsidP="00385BEF">
      <w:pPr>
        <w:pStyle w:val="Bezproreda"/>
        <w:ind w:left="720"/>
        <w:rPr>
          <w:rFonts w:asciiTheme="majorHAnsi" w:hAnsiTheme="majorHAnsi"/>
          <w:szCs w:val="24"/>
        </w:rPr>
      </w:pPr>
    </w:p>
    <w:p w:rsidR="00B37132" w:rsidRDefault="00385BEF" w:rsidP="00385BEF">
      <w:pPr>
        <w:pStyle w:val="Bezproreda"/>
        <w:rPr>
          <w:rFonts w:asciiTheme="majorHAnsi" w:hAnsiTheme="majorHAnsi"/>
          <w:b/>
          <w:szCs w:val="24"/>
        </w:rPr>
      </w:pPr>
      <w:r w:rsidRPr="004F6084">
        <w:rPr>
          <w:rFonts w:asciiTheme="majorHAnsi" w:hAnsiTheme="majorHAnsi"/>
          <w:b/>
          <w:szCs w:val="24"/>
        </w:rPr>
        <w:t>Stanje nedospjelih obveza</w:t>
      </w:r>
      <w:r w:rsidR="00B37132">
        <w:rPr>
          <w:rFonts w:asciiTheme="majorHAnsi" w:hAnsiTheme="majorHAnsi"/>
          <w:b/>
          <w:szCs w:val="24"/>
        </w:rPr>
        <w:tab/>
      </w:r>
      <w:r w:rsidR="00B37132">
        <w:rPr>
          <w:rFonts w:asciiTheme="majorHAnsi" w:hAnsiTheme="majorHAnsi"/>
          <w:b/>
          <w:szCs w:val="24"/>
        </w:rPr>
        <w:tab/>
      </w:r>
      <w:r w:rsidR="00B37132">
        <w:rPr>
          <w:rFonts w:asciiTheme="majorHAnsi" w:hAnsiTheme="majorHAnsi"/>
          <w:b/>
          <w:szCs w:val="24"/>
        </w:rPr>
        <w:tab/>
      </w:r>
      <w:r w:rsidR="00B37132">
        <w:rPr>
          <w:rFonts w:asciiTheme="majorHAnsi" w:hAnsiTheme="majorHAnsi"/>
          <w:b/>
          <w:szCs w:val="24"/>
        </w:rPr>
        <w:tab/>
      </w:r>
      <w:r w:rsidR="00B37132">
        <w:rPr>
          <w:rFonts w:asciiTheme="majorHAnsi" w:hAnsiTheme="majorHAnsi"/>
          <w:b/>
          <w:szCs w:val="24"/>
        </w:rPr>
        <w:tab/>
      </w:r>
      <w:r w:rsidR="00B37132">
        <w:rPr>
          <w:rFonts w:asciiTheme="majorHAnsi" w:hAnsiTheme="majorHAnsi"/>
          <w:b/>
          <w:szCs w:val="24"/>
        </w:rPr>
        <w:tab/>
      </w:r>
      <w:r w:rsidR="00B37132">
        <w:rPr>
          <w:rFonts w:asciiTheme="majorHAnsi" w:hAnsiTheme="majorHAnsi"/>
          <w:b/>
          <w:szCs w:val="24"/>
        </w:rPr>
        <w:tab/>
      </w:r>
      <w:r w:rsidR="00B37132">
        <w:rPr>
          <w:rFonts w:asciiTheme="majorHAnsi" w:hAnsiTheme="majorHAnsi"/>
          <w:b/>
          <w:szCs w:val="24"/>
        </w:rPr>
        <w:tab/>
      </w:r>
      <w:r w:rsidR="008E5048">
        <w:rPr>
          <w:rFonts w:asciiTheme="majorHAnsi" w:hAnsiTheme="majorHAnsi"/>
          <w:b/>
          <w:szCs w:val="24"/>
        </w:rPr>
        <w:t xml:space="preserve">     </w:t>
      </w:r>
    </w:p>
    <w:tbl>
      <w:tblPr>
        <w:tblW w:w="9260" w:type="dxa"/>
        <w:tblInd w:w="93" w:type="dxa"/>
        <w:tblLook w:val="04A0" w:firstRow="1" w:lastRow="0" w:firstColumn="1" w:lastColumn="0" w:noHBand="0" w:noVBand="1"/>
      </w:tblPr>
      <w:tblGrid>
        <w:gridCol w:w="1128"/>
        <w:gridCol w:w="1900"/>
        <w:gridCol w:w="2560"/>
        <w:gridCol w:w="1300"/>
        <w:gridCol w:w="1300"/>
        <w:gridCol w:w="1300"/>
      </w:tblGrid>
      <w:tr w:rsidR="00AF58CF" w:rsidRPr="00AF58CF" w:rsidTr="00AF58C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000000"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  <w:lang w:eastAsia="hr-HR"/>
              </w:rPr>
              <w:t>Ura br..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F58CF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hr-HR"/>
              </w:rPr>
              <w:t>Broj računa dobavljača</w:t>
            </w: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  <w:lang w:eastAsia="hr-HR"/>
              </w:rPr>
              <w:t>Partner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:rsidR="00AF58CF" w:rsidRPr="00AF58CF" w:rsidRDefault="003A7131" w:rsidP="00AF5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Datum računa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:rsidR="00AF58CF" w:rsidRPr="00AF58CF" w:rsidRDefault="003A7131" w:rsidP="003A7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Datum dospijeća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0000"/>
            <w:noWrap/>
            <w:hideMark/>
          </w:tcPr>
          <w:p w:rsidR="00AF58CF" w:rsidRPr="00AF58CF" w:rsidRDefault="003A7131" w:rsidP="003A7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Iznos računa</w:t>
            </w:r>
          </w:p>
        </w:tc>
      </w:tr>
      <w:tr w:rsidR="00AF58CF" w:rsidRPr="00AF58CF" w:rsidTr="00AF58C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F58CF" w:rsidRPr="00AF58CF" w:rsidRDefault="00AF58CF" w:rsidP="00AF5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hr-HR"/>
              </w:rPr>
              <w:t>Iznos računa</w:t>
            </w:r>
          </w:p>
        </w:tc>
      </w:tr>
      <w:tr w:rsidR="00AF58CF" w:rsidRPr="00AF58CF" w:rsidTr="00AF58C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58CF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F58CF" w:rsidRPr="00AF58CF" w:rsidRDefault="00AF58CF" w:rsidP="00AF5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AF58CF" w:rsidRPr="00AF58CF" w:rsidTr="00AF58C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F58CF" w:rsidRPr="00AF58CF" w:rsidTr="00AF58C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429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25-1221-0833480</w:t>
            </w: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FINA - fin. agencija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31.12.2021.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26.1.2022.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12,50</w:t>
            </w:r>
          </w:p>
        </w:tc>
      </w:tr>
      <w:tr w:rsidR="00AF58CF" w:rsidRPr="00AF58CF" w:rsidTr="00AF58C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85821130368</w:t>
            </w: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hr-HR"/>
              </w:rPr>
              <w:t>e račun pretplata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F58CF" w:rsidRPr="00AF58CF" w:rsidTr="00AF58C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423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550-11008-2</w:t>
            </w: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HP Hrvatska Pošta d.d.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31.12.2021.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17.1.2022.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195,40</w:t>
            </w:r>
          </w:p>
        </w:tc>
      </w:tr>
      <w:tr w:rsidR="00AF58CF" w:rsidRPr="00AF58CF" w:rsidTr="00AF58C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87311810356</w:t>
            </w: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hr-HR"/>
              </w:rPr>
              <w:t>usluge pošte 12/21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F58CF" w:rsidRPr="00AF58CF" w:rsidTr="00AF58C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5005161723-268-4</w:t>
            </w: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Hrvatski Telekom d.d. T-COM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31.12.2021.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17.1.2021.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262,43</w:t>
            </w:r>
          </w:p>
        </w:tc>
      </w:tr>
      <w:tr w:rsidR="00AF58CF" w:rsidRPr="00AF58CF" w:rsidTr="00AF58C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81793146560</w:t>
            </w: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hr-HR"/>
              </w:rPr>
              <w:t>USLUGE TELEKOMA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F58CF" w:rsidRPr="00AF58CF" w:rsidTr="00AF58C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425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2340-24213068730</w:t>
            </w: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PBZ d.d.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31.12.2021.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10.1.2022.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359,00</w:t>
            </w:r>
          </w:p>
        </w:tc>
      </w:tr>
      <w:tr w:rsidR="00AF58CF" w:rsidRPr="00AF58CF" w:rsidTr="00AF58C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02535697732</w:t>
            </w: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hr-HR"/>
              </w:rPr>
              <w:t>usluge banke 12/21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F58CF" w:rsidRPr="00AF58CF" w:rsidTr="00AF58C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430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1456-01-02-2021</w:t>
            </w: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STRUNJE - TRADE d.o.o.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31.12.2021.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30.1.2022.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536,75</w:t>
            </w:r>
          </w:p>
        </w:tc>
      </w:tr>
      <w:tr w:rsidR="00AF58CF" w:rsidRPr="00AF58CF" w:rsidTr="00AF58C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97670986612</w:t>
            </w: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hr-HR"/>
              </w:rPr>
              <w:t>odvoz otpada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F58CF" w:rsidRPr="00AF58CF" w:rsidTr="00AF58C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424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310/pr1/2021</w:t>
            </w: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Graver Zurak županja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30.12.2021.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5.1.2022.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720,00</w:t>
            </w:r>
          </w:p>
        </w:tc>
      </w:tr>
      <w:tr w:rsidR="00AF58CF" w:rsidRPr="00AF58CF" w:rsidTr="00AF58C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40162342425</w:t>
            </w: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hr-HR"/>
              </w:rPr>
              <w:t>dresovi i natpis za natjecanja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F58CF" w:rsidRPr="00AF58CF" w:rsidTr="00AF58C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426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468457-16-1</w:t>
            </w: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DUKAT mliječna industrija d.d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31.12.2021.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30.1.2022.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730,17</w:t>
            </w:r>
          </w:p>
        </w:tc>
      </w:tr>
      <w:tr w:rsidR="00AF58CF" w:rsidRPr="00AF58CF" w:rsidTr="00AF58C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25457712630</w:t>
            </w: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hr-HR"/>
              </w:rPr>
              <w:t>šema školsko mlijkeo 12/21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F58CF" w:rsidRPr="00AF58CF" w:rsidTr="00AF58C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431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3048/100/1</w:t>
            </w: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SLAVONIJA BOŠKOVIĆ d.o.o.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31.12.2021.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15.1.2022.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748,90</w:t>
            </w:r>
          </w:p>
        </w:tc>
      </w:tr>
      <w:tr w:rsidR="00AF58CF" w:rsidRPr="00AF58CF" w:rsidTr="00AF58C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70158661792</w:t>
            </w: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hr-HR"/>
              </w:rPr>
              <w:t>razno za školu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F58CF" w:rsidRPr="00AF58CF" w:rsidTr="00AF58C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428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3589/400/1</w:t>
            </w: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Boso d.o.o.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22.12.2021.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22.1.2022.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1.476,37</w:t>
            </w:r>
          </w:p>
        </w:tc>
      </w:tr>
      <w:tr w:rsidR="00AF58CF" w:rsidRPr="00AF58CF" w:rsidTr="00AF58C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91958721295</w:t>
            </w: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hr-HR"/>
              </w:rPr>
              <w:t>namirnice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F58CF" w:rsidRPr="00AF58CF" w:rsidTr="00AF58C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427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85/d/1</w:t>
            </w: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CENTAR PEKARA DRENOVCI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31.12.2021.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15.1.2022.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2.302,50</w:t>
            </w:r>
          </w:p>
        </w:tc>
      </w:tr>
      <w:tr w:rsidR="00AF58CF" w:rsidRPr="00AF58CF" w:rsidTr="00AF58C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53355796329</w:t>
            </w: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hr-HR"/>
              </w:rPr>
              <w:t>namirnice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F58CF" w:rsidRPr="00AF58CF" w:rsidTr="00AF58C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419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0010061942-211220-7</w:t>
            </w: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HEP Opskrba d.o.o.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31.12.2021.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4.2.2022.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4.298,85</w:t>
            </w:r>
          </w:p>
        </w:tc>
      </w:tr>
      <w:tr w:rsidR="00AF58CF" w:rsidRPr="00AF58CF" w:rsidTr="00AF58C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63073332379</w:t>
            </w: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hr-HR"/>
              </w:rPr>
              <w:t>el nergija 12/21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F58CF" w:rsidRPr="00AF58CF" w:rsidTr="00AF58C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420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1988-4-2</w:t>
            </w: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Bon-Ton distributer higijene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31.12.2021.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30.1.2021.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4.837,50</w:t>
            </w:r>
          </w:p>
        </w:tc>
      </w:tr>
      <w:tr w:rsidR="00AF58CF" w:rsidRPr="00AF58CF" w:rsidTr="00AF58C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52931027628</w:t>
            </w: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hr-HR"/>
              </w:rPr>
              <w:t>HIGIJENSKI MATERIJALI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F58CF" w:rsidRPr="00AF58CF" w:rsidTr="00AF58C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485/02/2</w:t>
            </w: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EKO SISTEMI RAJKOVIĆ d.o.o.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31.12.2021.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30.1.2022.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6.620,00</w:t>
            </w:r>
          </w:p>
        </w:tc>
      </w:tr>
      <w:tr w:rsidR="00AF58CF" w:rsidRPr="00AF58CF" w:rsidTr="00AF58C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57718914751</w:t>
            </w: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hr-HR"/>
              </w:rPr>
              <w:t>materijali za čišćenje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F58CF" w:rsidRPr="00AF58CF" w:rsidTr="00AF58C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418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20-2021-215238</w:t>
            </w: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PIS d.o.o. Vinkovci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31.12.2021.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18.1.2021.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20.907,42</w:t>
            </w:r>
          </w:p>
        </w:tc>
      </w:tr>
      <w:tr w:rsidR="00AF58CF" w:rsidRPr="00AF58CF" w:rsidTr="00AF58C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16423775522</w:t>
            </w: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hr-HR"/>
              </w:rPr>
            </w:pPr>
            <w:r w:rsidRPr="00AF58C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hr-HR"/>
              </w:rPr>
              <w:t>plin 12//21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F58CF" w:rsidRPr="00AF58CF" w:rsidTr="00AF58C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3A7131" w:rsidP="00AF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Obaveze za zaposlene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F58CF" w:rsidRPr="00AF58CF" w:rsidRDefault="003A7131" w:rsidP="00AF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255.954</w:t>
            </w:r>
          </w:p>
        </w:tc>
      </w:tr>
      <w:tr w:rsidR="00AF58CF" w:rsidRPr="00AF58CF" w:rsidTr="00AF58CF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58CF" w:rsidRPr="00AF58CF" w:rsidRDefault="00AF58CF" w:rsidP="00AF58C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F58CF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8CF" w:rsidRPr="00AF58CF" w:rsidRDefault="003A7131" w:rsidP="00AF58C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hr-HR"/>
              </w:rPr>
              <w:t>299.961 kn</w:t>
            </w:r>
          </w:p>
        </w:tc>
      </w:tr>
    </w:tbl>
    <w:p w:rsidR="00936040" w:rsidRDefault="00936040" w:rsidP="00385BEF">
      <w:pPr>
        <w:pStyle w:val="Bezproreda"/>
        <w:rPr>
          <w:rFonts w:asciiTheme="majorHAnsi" w:hAnsiTheme="majorHAnsi"/>
          <w:b/>
          <w:szCs w:val="24"/>
        </w:rPr>
      </w:pPr>
    </w:p>
    <w:p w:rsidR="00385BEF" w:rsidRDefault="00936040" w:rsidP="00385BEF">
      <w:pPr>
        <w:pStyle w:val="Bezproreda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U Vrbanji </w:t>
      </w:r>
      <w:r w:rsidR="00385BEF">
        <w:rPr>
          <w:rFonts w:asciiTheme="majorHAnsi" w:hAnsiTheme="majorHAnsi"/>
          <w:szCs w:val="24"/>
        </w:rPr>
        <w:t xml:space="preserve">, </w:t>
      </w:r>
      <w:r w:rsidR="003A7131">
        <w:rPr>
          <w:rFonts w:asciiTheme="majorHAnsi" w:hAnsiTheme="majorHAnsi"/>
          <w:szCs w:val="24"/>
        </w:rPr>
        <w:t>07</w:t>
      </w:r>
      <w:r w:rsidR="00561DB3">
        <w:rPr>
          <w:rFonts w:asciiTheme="majorHAnsi" w:hAnsiTheme="majorHAnsi"/>
          <w:szCs w:val="24"/>
        </w:rPr>
        <w:t>. veljače</w:t>
      </w:r>
      <w:r w:rsidR="00385BEF">
        <w:rPr>
          <w:rFonts w:asciiTheme="majorHAnsi" w:hAnsiTheme="majorHAnsi"/>
          <w:szCs w:val="24"/>
        </w:rPr>
        <w:t xml:space="preserve"> 20</w:t>
      </w:r>
      <w:r w:rsidR="00372581">
        <w:rPr>
          <w:rFonts w:asciiTheme="majorHAnsi" w:hAnsiTheme="majorHAnsi"/>
          <w:szCs w:val="24"/>
        </w:rPr>
        <w:t>2</w:t>
      </w:r>
      <w:r w:rsidR="003A7131">
        <w:rPr>
          <w:rFonts w:asciiTheme="majorHAnsi" w:hAnsiTheme="majorHAnsi"/>
          <w:szCs w:val="24"/>
        </w:rPr>
        <w:t>2</w:t>
      </w:r>
      <w:r w:rsidR="00385BEF">
        <w:rPr>
          <w:rFonts w:asciiTheme="majorHAnsi" w:hAnsiTheme="majorHAnsi"/>
          <w:szCs w:val="24"/>
        </w:rPr>
        <w:t>. godine</w:t>
      </w:r>
    </w:p>
    <w:p w:rsidR="00385BEF" w:rsidRDefault="00385BEF" w:rsidP="00385BEF">
      <w:pPr>
        <w:pStyle w:val="Bezproreda"/>
        <w:rPr>
          <w:rFonts w:asciiTheme="majorHAnsi" w:hAnsiTheme="majorHAnsi"/>
          <w:szCs w:val="24"/>
        </w:rPr>
      </w:pPr>
    </w:p>
    <w:p w:rsidR="00385BEF" w:rsidRPr="006E4E1D" w:rsidRDefault="00385BEF" w:rsidP="00385BEF">
      <w:pPr>
        <w:pStyle w:val="Bezproreda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 w:rsidRPr="006E4E1D">
        <w:rPr>
          <w:rFonts w:asciiTheme="majorHAnsi" w:hAnsiTheme="majorHAnsi"/>
          <w:b/>
          <w:szCs w:val="24"/>
        </w:rPr>
        <w:tab/>
        <w:t xml:space="preserve">      </w:t>
      </w:r>
      <w:r w:rsidR="00A17B9A">
        <w:rPr>
          <w:rFonts w:asciiTheme="majorHAnsi" w:hAnsiTheme="majorHAnsi"/>
          <w:b/>
          <w:szCs w:val="24"/>
        </w:rPr>
        <w:tab/>
        <w:t xml:space="preserve">      </w:t>
      </w:r>
      <w:r>
        <w:rPr>
          <w:rFonts w:asciiTheme="majorHAnsi" w:hAnsiTheme="majorHAnsi"/>
          <w:b/>
          <w:szCs w:val="24"/>
        </w:rPr>
        <w:t>ra</w:t>
      </w:r>
      <w:r w:rsidR="00A17B9A">
        <w:rPr>
          <w:rFonts w:asciiTheme="majorHAnsi" w:hAnsiTheme="majorHAnsi"/>
          <w:b/>
          <w:szCs w:val="24"/>
        </w:rPr>
        <w:t>vnateljica</w:t>
      </w:r>
    </w:p>
    <w:p w:rsidR="00385BEF" w:rsidRPr="006E4E1D" w:rsidRDefault="00385BEF" w:rsidP="00385BEF">
      <w:pPr>
        <w:pStyle w:val="Bezproreda"/>
        <w:rPr>
          <w:rFonts w:asciiTheme="majorHAnsi" w:hAnsiTheme="majorHAnsi"/>
          <w:b/>
          <w:szCs w:val="24"/>
        </w:rPr>
      </w:pPr>
      <w:r w:rsidRPr="006E4E1D">
        <w:rPr>
          <w:rFonts w:asciiTheme="majorHAnsi" w:hAnsiTheme="majorHAnsi"/>
          <w:b/>
          <w:szCs w:val="24"/>
        </w:rPr>
        <w:tab/>
      </w:r>
      <w:r w:rsidRPr="006E4E1D">
        <w:rPr>
          <w:rFonts w:asciiTheme="majorHAnsi" w:hAnsiTheme="majorHAnsi"/>
          <w:b/>
          <w:szCs w:val="24"/>
        </w:rPr>
        <w:tab/>
      </w:r>
      <w:r w:rsidRPr="006E4E1D">
        <w:rPr>
          <w:rFonts w:asciiTheme="majorHAnsi" w:hAnsiTheme="majorHAnsi"/>
          <w:b/>
          <w:szCs w:val="24"/>
        </w:rPr>
        <w:tab/>
      </w:r>
      <w:r w:rsidRPr="006E4E1D">
        <w:rPr>
          <w:rFonts w:asciiTheme="majorHAnsi" w:hAnsiTheme="majorHAnsi"/>
          <w:b/>
          <w:szCs w:val="24"/>
        </w:rPr>
        <w:tab/>
      </w:r>
      <w:r w:rsidRPr="006E4E1D">
        <w:rPr>
          <w:rFonts w:asciiTheme="majorHAnsi" w:hAnsiTheme="majorHAnsi"/>
          <w:b/>
          <w:szCs w:val="24"/>
        </w:rPr>
        <w:tab/>
      </w:r>
      <w:r w:rsidRPr="006E4E1D">
        <w:rPr>
          <w:rFonts w:asciiTheme="majorHAnsi" w:hAnsiTheme="majorHAnsi"/>
          <w:b/>
          <w:szCs w:val="24"/>
        </w:rPr>
        <w:tab/>
      </w:r>
      <w:r w:rsidRPr="006E4E1D">
        <w:rPr>
          <w:rFonts w:asciiTheme="majorHAnsi" w:hAnsiTheme="majorHAnsi"/>
          <w:b/>
          <w:szCs w:val="24"/>
        </w:rPr>
        <w:tab/>
      </w:r>
      <w:r w:rsidRPr="006E4E1D">
        <w:rPr>
          <w:rFonts w:asciiTheme="majorHAnsi" w:hAnsiTheme="majorHAnsi"/>
          <w:b/>
          <w:szCs w:val="24"/>
        </w:rPr>
        <w:tab/>
        <w:t xml:space="preserve"> </w:t>
      </w:r>
      <w:r w:rsidRPr="006E4E1D"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 xml:space="preserve">  </w:t>
      </w:r>
      <w:r w:rsidR="00936040">
        <w:rPr>
          <w:rFonts w:asciiTheme="majorHAnsi" w:hAnsiTheme="majorHAnsi"/>
          <w:b/>
          <w:szCs w:val="24"/>
        </w:rPr>
        <w:t xml:space="preserve">          </w:t>
      </w:r>
      <w:r>
        <w:rPr>
          <w:rFonts w:asciiTheme="majorHAnsi" w:hAnsiTheme="majorHAnsi"/>
          <w:b/>
          <w:szCs w:val="24"/>
        </w:rPr>
        <w:t xml:space="preserve">   </w:t>
      </w:r>
      <w:r w:rsidR="00936040">
        <w:rPr>
          <w:rFonts w:asciiTheme="majorHAnsi" w:hAnsiTheme="majorHAnsi"/>
          <w:b/>
          <w:szCs w:val="24"/>
        </w:rPr>
        <w:t>Dara Brčić</w:t>
      </w:r>
      <w:r w:rsidR="002D72D7">
        <w:rPr>
          <w:rFonts w:asciiTheme="majorHAnsi" w:hAnsiTheme="majorHAnsi"/>
          <w:b/>
          <w:szCs w:val="24"/>
        </w:rPr>
        <w:t>, prof.</w:t>
      </w:r>
    </w:p>
    <w:p w:rsidR="00385BEF" w:rsidRDefault="00385BEF" w:rsidP="00385BEF">
      <w:pPr>
        <w:pStyle w:val="Bezproreda"/>
        <w:rPr>
          <w:rFonts w:asciiTheme="majorHAnsi" w:hAnsiTheme="majorHAnsi"/>
          <w:szCs w:val="24"/>
        </w:rPr>
      </w:pPr>
    </w:p>
    <w:p w:rsidR="00385BEF" w:rsidRDefault="00385BEF" w:rsidP="00385BEF">
      <w:pPr>
        <w:pStyle w:val="Bezproreda"/>
        <w:rPr>
          <w:rFonts w:asciiTheme="majorHAnsi" w:hAnsiTheme="majorHAnsi"/>
          <w:szCs w:val="24"/>
        </w:rPr>
      </w:pPr>
    </w:p>
    <w:p w:rsidR="00385BEF" w:rsidRDefault="00385BEF" w:rsidP="00385BEF">
      <w:pPr>
        <w:pStyle w:val="Bezproreda"/>
        <w:rPr>
          <w:rFonts w:asciiTheme="majorHAnsi" w:hAnsiTheme="majorHAnsi"/>
          <w:szCs w:val="24"/>
        </w:rPr>
      </w:pPr>
    </w:p>
    <w:p w:rsidR="00613DF6" w:rsidRDefault="00613DF6" w:rsidP="00613DF6">
      <w:pPr>
        <w:pStyle w:val="Bezproreda"/>
      </w:pPr>
    </w:p>
    <w:sectPr w:rsidR="00613DF6" w:rsidSect="003059CC">
      <w:pgSz w:w="11906" w:h="16838"/>
      <w:pgMar w:top="720" w:right="7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86DBC"/>
    <w:multiLevelType w:val="hybridMultilevel"/>
    <w:tmpl w:val="F230BCDA"/>
    <w:lvl w:ilvl="0" w:tplc="BD8AFCA6">
      <w:start w:val="1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D5946"/>
    <w:multiLevelType w:val="hybridMultilevel"/>
    <w:tmpl w:val="27C65568"/>
    <w:lvl w:ilvl="0" w:tplc="62B2DEAC">
      <w:start w:val="1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262BB"/>
    <w:multiLevelType w:val="hybridMultilevel"/>
    <w:tmpl w:val="F3E2BCF2"/>
    <w:lvl w:ilvl="0" w:tplc="D854B194">
      <w:start w:val="92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39"/>
    <w:rsid w:val="00016FC7"/>
    <w:rsid w:val="00052B06"/>
    <w:rsid w:val="00067BD4"/>
    <w:rsid w:val="000C05A2"/>
    <w:rsid w:val="00107889"/>
    <w:rsid w:val="001731B8"/>
    <w:rsid w:val="001C23D7"/>
    <w:rsid w:val="001D66EE"/>
    <w:rsid w:val="001F4013"/>
    <w:rsid w:val="002434A8"/>
    <w:rsid w:val="00251582"/>
    <w:rsid w:val="002A2FC2"/>
    <w:rsid w:val="002D72D7"/>
    <w:rsid w:val="003059CC"/>
    <w:rsid w:val="00305A56"/>
    <w:rsid w:val="00372581"/>
    <w:rsid w:val="003763E2"/>
    <w:rsid w:val="00385BEF"/>
    <w:rsid w:val="003947DE"/>
    <w:rsid w:val="003A7131"/>
    <w:rsid w:val="00432F62"/>
    <w:rsid w:val="004377D7"/>
    <w:rsid w:val="0047020F"/>
    <w:rsid w:val="004862E5"/>
    <w:rsid w:val="004D3A2E"/>
    <w:rsid w:val="00561DB3"/>
    <w:rsid w:val="00570CA2"/>
    <w:rsid w:val="0058193D"/>
    <w:rsid w:val="00613DF6"/>
    <w:rsid w:val="00631D85"/>
    <w:rsid w:val="0065101B"/>
    <w:rsid w:val="0065697F"/>
    <w:rsid w:val="006A7B04"/>
    <w:rsid w:val="006C2CBF"/>
    <w:rsid w:val="006C5A38"/>
    <w:rsid w:val="006E51EB"/>
    <w:rsid w:val="006E661E"/>
    <w:rsid w:val="0077245E"/>
    <w:rsid w:val="00784CFD"/>
    <w:rsid w:val="00795CB9"/>
    <w:rsid w:val="007B042F"/>
    <w:rsid w:val="007E0E81"/>
    <w:rsid w:val="00892C78"/>
    <w:rsid w:val="008A40F6"/>
    <w:rsid w:val="008C2B29"/>
    <w:rsid w:val="008E5048"/>
    <w:rsid w:val="00936040"/>
    <w:rsid w:val="00941147"/>
    <w:rsid w:val="00975BC3"/>
    <w:rsid w:val="009D01F7"/>
    <w:rsid w:val="009E5E87"/>
    <w:rsid w:val="009F5447"/>
    <w:rsid w:val="00A02539"/>
    <w:rsid w:val="00A10ABF"/>
    <w:rsid w:val="00A17B9A"/>
    <w:rsid w:val="00AF58CF"/>
    <w:rsid w:val="00B37132"/>
    <w:rsid w:val="00B46B1A"/>
    <w:rsid w:val="00B47D72"/>
    <w:rsid w:val="00B54184"/>
    <w:rsid w:val="00B5451C"/>
    <w:rsid w:val="00B549F4"/>
    <w:rsid w:val="00B55C0E"/>
    <w:rsid w:val="00B67B63"/>
    <w:rsid w:val="00C66623"/>
    <w:rsid w:val="00CE2B57"/>
    <w:rsid w:val="00DA328B"/>
    <w:rsid w:val="00DD20EA"/>
    <w:rsid w:val="00E01439"/>
    <w:rsid w:val="00E1596C"/>
    <w:rsid w:val="00E30206"/>
    <w:rsid w:val="00E55664"/>
    <w:rsid w:val="00E602D9"/>
    <w:rsid w:val="00EA7410"/>
    <w:rsid w:val="00EC7404"/>
    <w:rsid w:val="00EE2C2F"/>
    <w:rsid w:val="00F00C7B"/>
    <w:rsid w:val="00F31145"/>
    <w:rsid w:val="00F811EA"/>
    <w:rsid w:val="00F95BB0"/>
    <w:rsid w:val="00FE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45372-8022-402B-84E6-1A42E350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BE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52B06"/>
    <w:pPr>
      <w:spacing w:after="0" w:line="240" w:lineRule="auto"/>
    </w:pPr>
    <w:rPr>
      <w:rFonts w:ascii="Arial" w:hAnsi="Arial"/>
      <w:sz w:val="24"/>
    </w:rPr>
  </w:style>
  <w:style w:type="table" w:styleId="Reetkatablice">
    <w:name w:val="Table Grid"/>
    <w:basedOn w:val="Obinatablica"/>
    <w:uiPriority w:val="59"/>
    <w:rsid w:val="00385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6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1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1851</Words>
  <Characters>10553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Osnovna škola Josip Kozarac</dc:creator>
  <cp:lastModifiedBy>OŠ M.Š. GAMIRŠEK 2</cp:lastModifiedBy>
  <cp:revision>3</cp:revision>
  <cp:lastPrinted>2022-02-07T13:46:00Z</cp:lastPrinted>
  <dcterms:created xsi:type="dcterms:W3CDTF">2022-02-08T15:03:00Z</dcterms:created>
  <dcterms:modified xsi:type="dcterms:W3CDTF">2022-02-08T15:03:00Z</dcterms:modified>
</cp:coreProperties>
</file>